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1E543">
      <w:pPr>
        <w:jc w:val="center"/>
        <w:rPr>
          <w:rFonts w:ascii="宋体" w:hAnsi="宋体"/>
          <w:b/>
          <w:sz w:val="44"/>
          <w:szCs w:val="44"/>
        </w:rPr>
      </w:pPr>
      <w:bookmarkStart w:id="1" w:name="_GoBack"/>
      <w:bookmarkEnd w:id="1"/>
      <w:r>
        <w:rPr>
          <w:rFonts w:hint="eastAsia" w:ascii="宋体" w:hAnsi="宋体"/>
          <w:b/>
          <w:sz w:val="44"/>
          <w:szCs w:val="44"/>
        </w:rPr>
        <w:t>中国人民政治协商会议河北省阜平县委员会</w:t>
      </w:r>
    </w:p>
    <w:p w14:paraId="69FCF4BB">
      <w:pPr>
        <w:jc w:val="center"/>
        <w:rPr>
          <w:rFonts w:ascii="宋体" w:hAnsi="宋体"/>
          <w:b/>
          <w:sz w:val="44"/>
          <w:szCs w:val="44"/>
        </w:rPr>
      </w:pPr>
      <w:r>
        <w:rPr>
          <w:rFonts w:hint="eastAsia" w:ascii="宋体" w:hAnsi="宋体"/>
          <w:b/>
          <w:sz w:val="44"/>
          <w:szCs w:val="44"/>
        </w:rPr>
        <w:t>2019年部门预算信息公开</w:t>
      </w:r>
    </w:p>
    <w:p w14:paraId="547C06AF">
      <w:pPr>
        <w:spacing w:line="520" w:lineRule="exact"/>
        <w:ind w:firstLine="640" w:firstLineChars="200"/>
        <w:jc w:val="left"/>
        <w:rPr>
          <w:rFonts w:ascii="仿宋" w:hAnsi="仿宋" w:eastAsia="仿宋" w:cs="仿宋_GB2312"/>
          <w:sz w:val="32"/>
          <w:szCs w:val="32"/>
        </w:rPr>
      </w:pPr>
    </w:p>
    <w:p w14:paraId="73569D16">
      <w:pPr>
        <w:spacing w:line="52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按照《</w:t>
      </w:r>
      <w:r>
        <w:rPr>
          <w:rFonts w:hint="eastAsia" w:ascii="仿宋" w:hAnsi="仿宋" w:eastAsia="仿宋" w:cs="仿宋_GB2312"/>
          <w:sz w:val="32"/>
          <w:szCs w:val="32"/>
          <w:lang w:eastAsia="zh-CN"/>
        </w:rPr>
        <w:t>中华人民共和国预算法</w:t>
      </w:r>
      <w:r>
        <w:rPr>
          <w:rFonts w:hint="eastAsia" w:ascii="仿宋" w:hAnsi="仿宋" w:eastAsia="仿宋" w:cs="仿宋_GB2312"/>
          <w:sz w:val="32"/>
          <w:szCs w:val="32"/>
        </w:rPr>
        <w:t>》、《地方预决算公开操作规程》和《河北省省级预算公开办法》规定，现将中国人民政治协商会议河北省阜平县委员会2019年部门预算公开如下：</w:t>
      </w:r>
    </w:p>
    <w:p w14:paraId="312B167B">
      <w:pPr>
        <w:spacing w:line="520" w:lineRule="exact"/>
        <w:jc w:val="left"/>
        <w:rPr>
          <w:rFonts w:ascii="黑体" w:hAnsi="黑体" w:eastAsia="黑体"/>
          <w:sz w:val="32"/>
          <w:szCs w:val="32"/>
        </w:rPr>
      </w:pPr>
    </w:p>
    <w:p w14:paraId="42477220">
      <w:pPr>
        <w:spacing w:line="520" w:lineRule="exact"/>
        <w:ind w:firstLine="640" w:firstLineChars="200"/>
        <w:jc w:val="center"/>
        <w:rPr>
          <w:rFonts w:ascii="黑体" w:hAnsi="黑体" w:eastAsia="黑体"/>
          <w:sz w:val="32"/>
          <w:szCs w:val="32"/>
        </w:rPr>
      </w:pPr>
      <w:r>
        <w:rPr>
          <w:rFonts w:hint="eastAsia" w:ascii="黑体" w:hAnsi="黑体" w:eastAsia="黑体"/>
          <w:sz w:val="32"/>
          <w:szCs w:val="32"/>
        </w:rPr>
        <w:t>第一部分:部门职责及机构设置情况</w:t>
      </w:r>
    </w:p>
    <w:p w14:paraId="6067F579">
      <w:pPr>
        <w:spacing w:line="520" w:lineRule="exact"/>
        <w:ind w:firstLine="640" w:firstLineChars="200"/>
        <w:jc w:val="center"/>
        <w:rPr>
          <w:rFonts w:ascii="黑体" w:hAnsi="黑体" w:eastAsia="黑体"/>
          <w:sz w:val="32"/>
          <w:szCs w:val="32"/>
        </w:rPr>
      </w:pPr>
    </w:p>
    <w:p w14:paraId="11F9C972">
      <w:pPr>
        <w:spacing w:line="520" w:lineRule="exact"/>
        <w:ind w:firstLine="640" w:firstLineChars="200"/>
        <w:rPr>
          <w:rFonts w:ascii="黑体" w:hAnsi="黑体" w:eastAsia="黑体"/>
          <w:sz w:val="32"/>
          <w:szCs w:val="32"/>
        </w:rPr>
      </w:pPr>
      <w:r>
        <w:rPr>
          <w:rFonts w:hint="eastAsia" w:ascii="黑体" w:hAnsi="黑体" w:eastAsia="黑体"/>
          <w:sz w:val="32"/>
          <w:szCs w:val="32"/>
        </w:rPr>
        <w:t>一、部门职责</w:t>
      </w:r>
    </w:p>
    <w:p w14:paraId="07F0A5DB">
      <w:pPr>
        <w:pStyle w:val="6"/>
        <w:widowControl/>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根据阜平县委办公室《关于印发政协阜平县委员会职能配置、内设机构和人员编制规定的通知》（阜办发[2002]52号），现将我单位部门概况说明如下：</w:t>
      </w:r>
    </w:p>
    <w:p w14:paraId="0C2F5A81">
      <w:pPr>
        <w:spacing w:line="520" w:lineRule="exact"/>
        <w:ind w:firstLine="640" w:firstLineChars="200"/>
        <w:rPr>
          <w:rFonts w:ascii="仿宋" w:hAnsi="仿宋" w:eastAsia="仿宋"/>
          <w:sz w:val="32"/>
          <w:szCs w:val="32"/>
        </w:rPr>
      </w:pPr>
      <w:r>
        <w:rPr>
          <w:rFonts w:hint="eastAsia" w:ascii="仿宋" w:hAnsi="仿宋" w:eastAsia="仿宋"/>
          <w:sz w:val="32"/>
          <w:szCs w:val="32"/>
        </w:rPr>
        <w:t>（一）人民政协是爱国统一战线组织，是共产党领导的多党合作和政治协商的重要机构。主要职能是政治协商、民主监督和参政议政。</w:t>
      </w:r>
    </w:p>
    <w:p w14:paraId="4B99EE3D">
      <w:pPr>
        <w:spacing w:line="520" w:lineRule="exact"/>
        <w:ind w:firstLine="640" w:firstLineChars="200"/>
        <w:rPr>
          <w:rFonts w:ascii="仿宋" w:hAnsi="仿宋" w:eastAsia="仿宋"/>
          <w:sz w:val="32"/>
          <w:szCs w:val="32"/>
        </w:rPr>
      </w:pPr>
      <w:r>
        <w:rPr>
          <w:rFonts w:hint="eastAsia" w:ascii="仿宋" w:hAnsi="仿宋" w:eastAsia="仿宋"/>
          <w:sz w:val="32"/>
          <w:szCs w:val="32"/>
        </w:rPr>
        <w:t>（二）政治协商是对国家和地方的大政方针以及政治、经济、文化和社会生活中的重要问题在决策之前进行协商和就决策执行过程中的重要问题进行协商。</w:t>
      </w:r>
    </w:p>
    <w:p w14:paraId="4DE811E1">
      <w:pPr>
        <w:spacing w:line="520" w:lineRule="exact"/>
        <w:ind w:firstLine="640" w:firstLineChars="200"/>
        <w:rPr>
          <w:rFonts w:ascii="仿宋" w:hAnsi="仿宋" w:eastAsia="仿宋"/>
          <w:sz w:val="32"/>
          <w:szCs w:val="32"/>
        </w:rPr>
      </w:pPr>
      <w:r>
        <w:rPr>
          <w:rFonts w:hint="eastAsia" w:ascii="仿宋" w:hAnsi="仿宋" w:eastAsia="仿宋"/>
          <w:sz w:val="32"/>
          <w:szCs w:val="32"/>
        </w:rPr>
        <w:t>（三）民主监督是对国家宪法、法律和法规的实施、重大方针政策的贯彻执行、国家机关及其工作人员的工作，通过建议和批评进行监督。</w:t>
      </w:r>
    </w:p>
    <w:p w14:paraId="287E92EC">
      <w:pPr>
        <w:spacing w:line="520" w:lineRule="exact"/>
        <w:ind w:firstLine="640" w:firstLineChars="200"/>
        <w:rPr>
          <w:rFonts w:ascii="仿宋" w:hAnsi="仿宋" w:eastAsia="仿宋"/>
          <w:sz w:val="32"/>
          <w:szCs w:val="32"/>
        </w:rPr>
      </w:pPr>
      <w:r>
        <w:rPr>
          <w:rFonts w:hint="eastAsia" w:ascii="仿宋" w:hAnsi="仿宋" w:eastAsia="仿宋"/>
          <w:sz w:val="32"/>
          <w:szCs w:val="32"/>
        </w:rPr>
        <w:t>（四）参政议政是组织政协委员，通过调查研究，积极参与各种政治、经济、文化和社会活动，通过多种方式，广开言路，广开才路，充分发表意见，为改革开放和现代化建设发挥作用。</w:t>
      </w:r>
    </w:p>
    <w:p w14:paraId="135E7D9F">
      <w:pPr>
        <w:pStyle w:val="7"/>
        <w:spacing w:line="520" w:lineRule="exact"/>
        <w:ind w:firstLine="736" w:firstLineChars="230"/>
        <w:rPr>
          <w:rFonts w:ascii="黑体" w:hAnsi="黑体" w:eastAsia="黑体" w:cs="仿宋_GB2312"/>
          <w:sz w:val="32"/>
          <w:szCs w:val="32"/>
        </w:rPr>
      </w:pPr>
    </w:p>
    <w:p w14:paraId="3A5C7D81">
      <w:pPr>
        <w:pStyle w:val="7"/>
        <w:spacing w:line="520" w:lineRule="exact"/>
        <w:ind w:firstLine="736" w:firstLineChars="230"/>
        <w:rPr>
          <w:rFonts w:ascii="黑体" w:hAnsi="黑体" w:eastAsia="黑体" w:cs="仿宋_GB2312"/>
          <w:sz w:val="32"/>
          <w:szCs w:val="32"/>
        </w:rPr>
      </w:pPr>
    </w:p>
    <w:p w14:paraId="0ED4B766">
      <w:pPr>
        <w:pStyle w:val="7"/>
        <w:spacing w:line="520" w:lineRule="exact"/>
        <w:ind w:firstLine="736" w:firstLineChars="230"/>
        <w:rPr>
          <w:rFonts w:ascii="黑体" w:hAnsi="黑体" w:eastAsia="黑体"/>
          <w:sz w:val="32"/>
          <w:szCs w:val="32"/>
        </w:rPr>
      </w:pPr>
      <w:r>
        <w:rPr>
          <w:rFonts w:hint="eastAsia" w:ascii="黑体" w:hAnsi="黑体" w:eastAsia="黑体" w:cs="仿宋_GB2312"/>
          <w:sz w:val="32"/>
          <w:szCs w:val="32"/>
        </w:rPr>
        <w:t>二、</w:t>
      </w:r>
      <w:r>
        <w:rPr>
          <w:rFonts w:hint="eastAsia" w:ascii="黑体" w:hAnsi="黑体" w:eastAsia="黑体"/>
          <w:sz w:val="32"/>
          <w:szCs w:val="32"/>
        </w:rPr>
        <w:t>机构设置</w:t>
      </w:r>
    </w:p>
    <w:tbl>
      <w:tblPr>
        <w:tblStyle w:val="4"/>
        <w:tblW w:w="9796" w:type="dxa"/>
        <w:tblInd w:w="93" w:type="dxa"/>
        <w:tblLayout w:type="fixed"/>
        <w:tblCellMar>
          <w:top w:w="0" w:type="dxa"/>
          <w:left w:w="108" w:type="dxa"/>
          <w:bottom w:w="0" w:type="dxa"/>
          <w:right w:w="108" w:type="dxa"/>
        </w:tblCellMar>
      </w:tblPr>
      <w:tblGrid>
        <w:gridCol w:w="1080"/>
        <w:gridCol w:w="2320"/>
        <w:gridCol w:w="2120"/>
        <w:gridCol w:w="1900"/>
        <w:gridCol w:w="2376"/>
      </w:tblGrid>
      <w:tr w14:paraId="41E7A04C">
        <w:tblPrEx>
          <w:tblCellMar>
            <w:top w:w="0" w:type="dxa"/>
            <w:left w:w="108" w:type="dxa"/>
            <w:bottom w:w="0" w:type="dxa"/>
            <w:right w:w="108" w:type="dxa"/>
          </w:tblCellMar>
        </w:tblPrEx>
        <w:trPr>
          <w:trHeight w:val="810" w:hRule="atLeast"/>
        </w:trPr>
        <w:tc>
          <w:tcPr>
            <w:tcW w:w="9796" w:type="dxa"/>
            <w:gridSpan w:val="5"/>
            <w:tcBorders>
              <w:top w:val="nil"/>
              <w:left w:val="nil"/>
              <w:bottom w:val="single" w:color="auto" w:sz="4" w:space="0"/>
              <w:right w:val="nil"/>
            </w:tcBorders>
            <w:shd w:val="clear" w:color="auto" w:fill="auto"/>
            <w:vAlign w:val="center"/>
          </w:tcPr>
          <w:p w14:paraId="7D2B6A91">
            <w:pPr>
              <w:widowControl/>
              <w:jc w:val="center"/>
              <w:rPr>
                <w:rFonts w:ascii="宋体" w:hAnsi="宋体" w:cs="宋体"/>
                <w:color w:val="000000"/>
                <w:kern w:val="0"/>
                <w:sz w:val="28"/>
                <w:szCs w:val="28"/>
              </w:rPr>
            </w:pPr>
            <w:r>
              <w:rPr>
                <w:rFonts w:hint="eastAsia" w:ascii="仿宋_GB2312" w:hAnsi="仿宋_GB2312" w:eastAsia="仿宋_GB2312" w:cs="仿宋_GB2312"/>
                <w:color w:val="000000"/>
                <w:kern w:val="0"/>
                <w:sz w:val="28"/>
                <w:szCs w:val="28"/>
              </w:rPr>
              <w:t>部门机构设置情况</w:t>
            </w:r>
          </w:p>
        </w:tc>
      </w:tr>
      <w:tr w14:paraId="2FB22734">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14:paraId="5C458EBD">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序号</w:t>
            </w:r>
          </w:p>
        </w:tc>
        <w:tc>
          <w:tcPr>
            <w:tcW w:w="2320" w:type="dxa"/>
            <w:vMerge w:val="restart"/>
            <w:tcBorders>
              <w:top w:val="nil"/>
              <w:left w:val="single" w:color="auto" w:sz="4" w:space="0"/>
              <w:bottom w:val="single" w:color="000000" w:sz="4" w:space="0"/>
              <w:right w:val="single" w:color="auto" w:sz="4" w:space="0"/>
            </w:tcBorders>
            <w:shd w:val="clear" w:color="auto" w:fill="auto"/>
            <w:vAlign w:val="center"/>
          </w:tcPr>
          <w:p w14:paraId="2C3B7B2B">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单位名称</w:t>
            </w:r>
          </w:p>
        </w:tc>
        <w:tc>
          <w:tcPr>
            <w:tcW w:w="2120" w:type="dxa"/>
            <w:vMerge w:val="restart"/>
            <w:tcBorders>
              <w:top w:val="nil"/>
              <w:left w:val="single" w:color="auto" w:sz="4" w:space="0"/>
              <w:bottom w:val="single" w:color="000000" w:sz="4" w:space="0"/>
              <w:right w:val="single" w:color="auto" w:sz="4" w:space="0"/>
            </w:tcBorders>
            <w:shd w:val="clear" w:color="auto" w:fill="auto"/>
            <w:vAlign w:val="center"/>
          </w:tcPr>
          <w:p w14:paraId="05067393">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单位性质</w:t>
            </w:r>
          </w:p>
        </w:tc>
        <w:tc>
          <w:tcPr>
            <w:tcW w:w="1900" w:type="dxa"/>
            <w:vMerge w:val="restart"/>
            <w:tcBorders>
              <w:top w:val="nil"/>
              <w:left w:val="single" w:color="auto" w:sz="4" w:space="0"/>
              <w:bottom w:val="single" w:color="000000" w:sz="4" w:space="0"/>
              <w:right w:val="single" w:color="auto" w:sz="4" w:space="0"/>
            </w:tcBorders>
            <w:shd w:val="clear" w:color="auto" w:fill="auto"/>
            <w:vAlign w:val="center"/>
          </w:tcPr>
          <w:p w14:paraId="6C63E9DF">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单位规格</w:t>
            </w:r>
          </w:p>
        </w:tc>
        <w:tc>
          <w:tcPr>
            <w:tcW w:w="2376" w:type="dxa"/>
            <w:vMerge w:val="restart"/>
            <w:tcBorders>
              <w:top w:val="nil"/>
              <w:left w:val="single" w:color="auto" w:sz="4" w:space="0"/>
              <w:bottom w:val="single" w:color="000000" w:sz="4" w:space="0"/>
              <w:right w:val="single" w:color="auto" w:sz="4" w:space="0"/>
            </w:tcBorders>
            <w:shd w:val="clear" w:color="auto" w:fill="auto"/>
            <w:vAlign w:val="center"/>
          </w:tcPr>
          <w:p w14:paraId="1D2BFDCF">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经费保障形式</w:t>
            </w:r>
          </w:p>
        </w:tc>
      </w:tr>
      <w:tr w14:paraId="6C00359A">
        <w:tblPrEx>
          <w:tblCellMar>
            <w:top w:w="0" w:type="dxa"/>
            <w:left w:w="108" w:type="dxa"/>
            <w:bottom w:w="0" w:type="dxa"/>
            <w:right w:w="108" w:type="dxa"/>
          </w:tblCellMar>
        </w:tblPrEx>
        <w:trPr>
          <w:trHeight w:val="412" w:hRule="atLeast"/>
        </w:trPr>
        <w:tc>
          <w:tcPr>
            <w:tcW w:w="1080" w:type="dxa"/>
            <w:vMerge w:val="continue"/>
            <w:tcBorders>
              <w:top w:val="nil"/>
              <w:left w:val="single" w:color="auto" w:sz="4" w:space="0"/>
              <w:bottom w:val="single" w:color="000000" w:sz="4" w:space="0"/>
              <w:right w:val="single" w:color="auto" w:sz="4" w:space="0"/>
            </w:tcBorders>
            <w:vAlign w:val="center"/>
          </w:tcPr>
          <w:p w14:paraId="3CA01F61">
            <w:pPr>
              <w:widowControl/>
              <w:jc w:val="left"/>
              <w:rPr>
                <w:rFonts w:ascii="仿宋_GB2312" w:hAnsi="仿宋_GB2312" w:eastAsia="仿宋_GB2312" w:cs="仿宋_GB2312"/>
                <w:color w:val="000000"/>
                <w:kern w:val="0"/>
                <w:sz w:val="24"/>
                <w:szCs w:val="24"/>
              </w:rPr>
            </w:pPr>
          </w:p>
        </w:tc>
        <w:tc>
          <w:tcPr>
            <w:tcW w:w="2320" w:type="dxa"/>
            <w:vMerge w:val="continue"/>
            <w:tcBorders>
              <w:top w:val="nil"/>
              <w:left w:val="single" w:color="auto" w:sz="4" w:space="0"/>
              <w:bottom w:val="single" w:color="000000" w:sz="4" w:space="0"/>
              <w:right w:val="single" w:color="auto" w:sz="4" w:space="0"/>
            </w:tcBorders>
            <w:vAlign w:val="center"/>
          </w:tcPr>
          <w:p w14:paraId="1A78421B">
            <w:pPr>
              <w:widowControl/>
              <w:jc w:val="left"/>
              <w:rPr>
                <w:rFonts w:ascii="仿宋_GB2312" w:hAnsi="仿宋_GB2312" w:eastAsia="仿宋_GB2312" w:cs="仿宋_GB2312"/>
                <w:color w:val="000000"/>
                <w:kern w:val="0"/>
                <w:sz w:val="24"/>
                <w:szCs w:val="24"/>
              </w:rPr>
            </w:pPr>
          </w:p>
        </w:tc>
        <w:tc>
          <w:tcPr>
            <w:tcW w:w="2120" w:type="dxa"/>
            <w:vMerge w:val="continue"/>
            <w:tcBorders>
              <w:top w:val="nil"/>
              <w:left w:val="single" w:color="auto" w:sz="4" w:space="0"/>
              <w:bottom w:val="single" w:color="000000" w:sz="4" w:space="0"/>
              <w:right w:val="single" w:color="auto" w:sz="4" w:space="0"/>
            </w:tcBorders>
            <w:vAlign w:val="center"/>
          </w:tcPr>
          <w:p w14:paraId="60068192">
            <w:pPr>
              <w:widowControl/>
              <w:jc w:val="left"/>
              <w:rPr>
                <w:rFonts w:ascii="仿宋_GB2312" w:hAnsi="仿宋_GB2312" w:eastAsia="仿宋_GB2312" w:cs="仿宋_GB2312"/>
                <w:color w:val="000000"/>
                <w:kern w:val="0"/>
                <w:sz w:val="24"/>
                <w:szCs w:val="24"/>
              </w:rPr>
            </w:pPr>
          </w:p>
        </w:tc>
        <w:tc>
          <w:tcPr>
            <w:tcW w:w="1900" w:type="dxa"/>
            <w:vMerge w:val="continue"/>
            <w:tcBorders>
              <w:top w:val="nil"/>
              <w:left w:val="single" w:color="auto" w:sz="4" w:space="0"/>
              <w:bottom w:val="single" w:color="000000" w:sz="4" w:space="0"/>
              <w:right w:val="single" w:color="auto" w:sz="4" w:space="0"/>
            </w:tcBorders>
            <w:vAlign w:val="center"/>
          </w:tcPr>
          <w:p w14:paraId="603F34E2">
            <w:pPr>
              <w:widowControl/>
              <w:jc w:val="left"/>
              <w:rPr>
                <w:rFonts w:ascii="仿宋_GB2312" w:hAnsi="仿宋_GB2312" w:eastAsia="仿宋_GB2312" w:cs="仿宋_GB2312"/>
                <w:color w:val="000000"/>
                <w:kern w:val="0"/>
                <w:sz w:val="24"/>
                <w:szCs w:val="24"/>
              </w:rPr>
            </w:pPr>
          </w:p>
        </w:tc>
        <w:tc>
          <w:tcPr>
            <w:tcW w:w="2376" w:type="dxa"/>
            <w:vMerge w:val="continue"/>
            <w:tcBorders>
              <w:top w:val="nil"/>
              <w:left w:val="single" w:color="auto" w:sz="4" w:space="0"/>
              <w:bottom w:val="single" w:color="000000" w:sz="4" w:space="0"/>
              <w:right w:val="single" w:color="auto" w:sz="4" w:space="0"/>
            </w:tcBorders>
            <w:vAlign w:val="center"/>
          </w:tcPr>
          <w:p w14:paraId="7E32F670">
            <w:pPr>
              <w:widowControl/>
              <w:jc w:val="left"/>
              <w:rPr>
                <w:rFonts w:ascii="仿宋_GB2312" w:hAnsi="仿宋_GB2312" w:eastAsia="仿宋_GB2312" w:cs="仿宋_GB2312"/>
                <w:color w:val="000000"/>
                <w:kern w:val="0"/>
                <w:sz w:val="24"/>
                <w:szCs w:val="24"/>
              </w:rPr>
            </w:pPr>
          </w:p>
        </w:tc>
      </w:tr>
      <w:tr w14:paraId="71190CB1">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096AE082">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p>
        </w:tc>
        <w:tc>
          <w:tcPr>
            <w:tcW w:w="2320" w:type="dxa"/>
            <w:tcBorders>
              <w:top w:val="nil"/>
              <w:left w:val="nil"/>
              <w:bottom w:val="single" w:color="auto" w:sz="4" w:space="0"/>
              <w:right w:val="single" w:color="auto" w:sz="4" w:space="0"/>
            </w:tcBorders>
            <w:shd w:val="clear" w:color="auto" w:fill="auto"/>
            <w:vAlign w:val="center"/>
          </w:tcPr>
          <w:p w14:paraId="3AC379CE">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中国人民政治协商会议河北省阜平县委员会</w:t>
            </w:r>
          </w:p>
        </w:tc>
        <w:tc>
          <w:tcPr>
            <w:tcW w:w="2120" w:type="dxa"/>
            <w:tcBorders>
              <w:top w:val="nil"/>
              <w:left w:val="nil"/>
              <w:bottom w:val="single" w:color="auto" w:sz="4" w:space="0"/>
              <w:right w:val="single" w:color="auto" w:sz="4" w:space="0"/>
            </w:tcBorders>
            <w:shd w:val="clear" w:color="auto" w:fill="auto"/>
            <w:vAlign w:val="center"/>
          </w:tcPr>
          <w:p w14:paraId="2E77E695">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行政</w:t>
            </w:r>
          </w:p>
        </w:tc>
        <w:tc>
          <w:tcPr>
            <w:tcW w:w="1900" w:type="dxa"/>
            <w:tcBorders>
              <w:top w:val="nil"/>
              <w:left w:val="nil"/>
              <w:bottom w:val="single" w:color="auto" w:sz="4" w:space="0"/>
              <w:right w:val="single" w:color="auto" w:sz="4" w:space="0"/>
            </w:tcBorders>
            <w:shd w:val="clear" w:color="auto" w:fill="auto"/>
            <w:vAlign w:val="center"/>
          </w:tcPr>
          <w:p w14:paraId="42985112">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正处级</w:t>
            </w:r>
          </w:p>
        </w:tc>
        <w:tc>
          <w:tcPr>
            <w:tcW w:w="2376" w:type="dxa"/>
            <w:tcBorders>
              <w:top w:val="nil"/>
              <w:left w:val="nil"/>
              <w:bottom w:val="single" w:color="auto" w:sz="4" w:space="0"/>
              <w:right w:val="single" w:color="auto" w:sz="4" w:space="0"/>
            </w:tcBorders>
            <w:shd w:val="clear" w:color="auto" w:fill="auto"/>
            <w:vAlign w:val="center"/>
          </w:tcPr>
          <w:p w14:paraId="49EF7696">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财政拨款</w:t>
            </w:r>
          </w:p>
        </w:tc>
      </w:tr>
    </w:tbl>
    <w:p w14:paraId="271DA46C">
      <w:pPr>
        <w:pStyle w:val="7"/>
        <w:spacing w:line="520" w:lineRule="exact"/>
        <w:ind w:left="720" w:firstLine="640"/>
        <w:rPr>
          <w:rFonts w:ascii="黑体" w:hAnsi="黑体" w:eastAsia="黑体"/>
          <w:sz w:val="32"/>
          <w:szCs w:val="32"/>
        </w:rPr>
      </w:pPr>
    </w:p>
    <w:p w14:paraId="21BEFCAF">
      <w:pPr>
        <w:jc w:val="center"/>
        <w:outlineLvl w:val="0"/>
        <w:rPr>
          <w:rFonts w:ascii="黑体" w:hAnsi="黑体" w:eastAsia="黑体"/>
          <w:b/>
          <w:sz w:val="32"/>
        </w:rPr>
      </w:pPr>
      <w:r>
        <w:rPr>
          <w:rFonts w:hint="eastAsia" w:ascii="黑体" w:hAnsi="黑体" w:eastAsia="黑体"/>
          <w:b/>
          <w:sz w:val="32"/>
        </w:rPr>
        <w:t>第二部分：部门预算安排的总体情况</w:t>
      </w:r>
    </w:p>
    <w:p w14:paraId="4A2B5EBB">
      <w:pPr>
        <w:jc w:val="center"/>
        <w:outlineLvl w:val="0"/>
        <w:rPr>
          <w:rFonts w:ascii="黑体" w:hAnsi="黑体" w:eastAsia="黑体"/>
          <w:b/>
          <w:sz w:val="32"/>
        </w:rPr>
      </w:pPr>
    </w:p>
    <w:p w14:paraId="0FCCC90C">
      <w:pPr>
        <w:spacing w:line="520" w:lineRule="exact"/>
        <w:ind w:firstLine="643" w:firstLineChars="200"/>
        <w:rPr>
          <w:rFonts w:ascii="仿宋" w:hAnsi="仿宋" w:eastAsia="仿宋"/>
          <w:b/>
          <w:sz w:val="32"/>
          <w:szCs w:val="32"/>
        </w:rPr>
      </w:pPr>
      <w:r>
        <w:rPr>
          <w:rFonts w:hint="eastAsia" w:ascii="仿宋" w:hAnsi="仿宋" w:eastAsia="仿宋"/>
          <w:b/>
          <w:sz w:val="32"/>
          <w:szCs w:val="32"/>
        </w:rPr>
        <w:t>1、收入说明</w:t>
      </w:r>
    </w:p>
    <w:p w14:paraId="71A03CF4">
      <w:pPr>
        <w:spacing w:line="520" w:lineRule="exact"/>
        <w:ind w:firstLine="640" w:firstLineChars="200"/>
        <w:rPr>
          <w:rFonts w:ascii="仿宋" w:hAnsi="仿宋" w:eastAsia="仿宋"/>
          <w:sz w:val="32"/>
          <w:szCs w:val="32"/>
        </w:rPr>
      </w:pPr>
      <w:r>
        <w:rPr>
          <w:rFonts w:hint="eastAsia" w:ascii="仿宋" w:hAnsi="仿宋" w:eastAsia="仿宋"/>
          <w:sz w:val="32"/>
          <w:szCs w:val="32"/>
        </w:rPr>
        <w:t>2019年中国人民政治协商会议河北省阜平县委员会年初部门收入预算总额为208.73万元。</w:t>
      </w:r>
    </w:p>
    <w:p w14:paraId="46719CE8">
      <w:pPr>
        <w:spacing w:line="520" w:lineRule="exact"/>
        <w:ind w:firstLine="640" w:firstLineChars="200"/>
        <w:rPr>
          <w:rFonts w:ascii="仿宋" w:hAnsi="仿宋" w:eastAsia="仿宋"/>
          <w:sz w:val="32"/>
          <w:szCs w:val="32"/>
        </w:rPr>
      </w:pPr>
      <w:r>
        <w:rPr>
          <w:rFonts w:hint="eastAsia" w:ascii="仿宋" w:hAnsi="仿宋" w:eastAsia="仿宋"/>
          <w:sz w:val="32"/>
          <w:szCs w:val="32"/>
        </w:rPr>
        <w:t>其中：人员经费预算为129.29万元</w:t>
      </w:r>
    </w:p>
    <w:p w14:paraId="46DE763C">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正常公用经费预算为49.95万元</w:t>
      </w:r>
    </w:p>
    <w:p w14:paraId="11512935">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专项项目预算为29.49万元</w:t>
      </w:r>
    </w:p>
    <w:p w14:paraId="6E6F03FB">
      <w:pPr>
        <w:spacing w:line="520" w:lineRule="exact"/>
        <w:ind w:firstLine="643" w:firstLineChars="200"/>
        <w:rPr>
          <w:rFonts w:ascii="仿宋" w:hAnsi="仿宋" w:eastAsia="仿宋"/>
          <w:b/>
          <w:sz w:val="32"/>
          <w:szCs w:val="32"/>
        </w:rPr>
      </w:pPr>
      <w:r>
        <w:rPr>
          <w:rFonts w:hint="eastAsia" w:ascii="仿宋" w:hAnsi="仿宋" w:eastAsia="仿宋"/>
          <w:b/>
          <w:sz w:val="32"/>
          <w:szCs w:val="32"/>
        </w:rPr>
        <w:t>2、支出说明</w:t>
      </w:r>
    </w:p>
    <w:p w14:paraId="0E716CA9">
      <w:pPr>
        <w:spacing w:line="520" w:lineRule="exact"/>
        <w:ind w:firstLine="640" w:firstLineChars="200"/>
        <w:rPr>
          <w:rFonts w:ascii="仿宋" w:hAnsi="仿宋" w:eastAsia="仿宋"/>
          <w:sz w:val="32"/>
          <w:szCs w:val="32"/>
        </w:rPr>
      </w:pPr>
      <w:r>
        <w:rPr>
          <w:rFonts w:hint="eastAsia" w:ascii="仿宋" w:hAnsi="仿宋" w:eastAsia="仿宋"/>
          <w:sz w:val="32"/>
          <w:szCs w:val="32"/>
        </w:rPr>
        <w:t>2019年部门支出安排预算总额208.73万元。</w:t>
      </w:r>
    </w:p>
    <w:p w14:paraId="4D41001C">
      <w:pPr>
        <w:spacing w:line="520" w:lineRule="exact"/>
        <w:ind w:firstLine="640" w:firstLineChars="200"/>
        <w:rPr>
          <w:rFonts w:ascii="仿宋" w:hAnsi="仿宋" w:eastAsia="仿宋"/>
          <w:sz w:val="32"/>
          <w:szCs w:val="32"/>
        </w:rPr>
      </w:pPr>
      <w:r>
        <w:rPr>
          <w:rFonts w:hint="eastAsia" w:ascii="仿宋" w:hAnsi="仿宋" w:eastAsia="仿宋"/>
          <w:sz w:val="32"/>
          <w:szCs w:val="32"/>
        </w:rPr>
        <w:t>基本支出 179.24万元</w:t>
      </w:r>
    </w:p>
    <w:p w14:paraId="10468797">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其中：人员经费预算为129.29万元</w:t>
      </w:r>
    </w:p>
    <w:p w14:paraId="7E521378">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正常公用经费预算为49.95万元</w:t>
      </w:r>
    </w:p>
    <w:p w14:paraId="0319FBE9">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专项项目预算为29.49万元</w:t>
      </w:r>
    </w:p>
    <w:p w14:paraId="07E82659">
      <w:pPr>
        <w:spacing w:line="520" w:lineRule="exact"/>
        <w:ind w:firstLine="640" w:firstLineChars="200"/>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3、比上年增减情况</w:t>
      </w:r>
    </w:p>
    <w:p w14:paraId="2FA57583">
      <w:pPr>
        <w:tabs>
          <w:tab w:val="left" w:pos="916"/>
        </w:tabs>
        <w:spacing w:line="560" w:lineRule="exact"/>
        <w:ind w:firstLine="630"/>
        <w:jc w:val="left"/>
        <w:rPr>
          <w:rFonts w:ascii="仿宋" w:hAnsi="仿宋" w:eastAsia="仿宋"/>
          <w:sz w:val="32"/>
          <w:szCs w:val="32"/>
        </w:rPr>
      </w:pPr>
      <w:r>
        <w:rPr>
          <w:rFonts w:hint="eastAsia" w:ascii="仿宋" w:hAnsi="仿宋" w:eastAsia="仿宋"/>
          <w:sz w:val="32"/>
          <w:szCs w:val="32"/>
        </w:rPr>
        <w:t>本年度预算收支安排208.73万元，较上年减少4.05万元。其中:基本支出增加8.46万元，主要增加人员经费支出；项目支出减少12.51万元，主要减少委员培训和出版印刷项目支出。</w:t>
      </w:r>
    </w:p>
    <w:p w14:paraId="1002C1F5">
      <w:pPr>
        <w:spacing w:line="520" w:lineRule="exact"/>
        <w:outlineLvl w:val="0"/>
        <w:rPr>
          <w:rFonts w:ascii="黑体" w:hAnsi="黑体" w:eastAsia="黑体"/>
          <w:sz w:val="32"/>
          <w:szCs w:val="32"/>
        </w:rPr>
      </w:pPr>
    </w:p>
    <w:p w14:paraId="0A96B78D">
      <w:pPr>
        <w:spacing w:line="520" w:lineRule="exact"/>
        <w:jc w:val="center"/>
        <w:outlineLvl w:val="0"/>
        <w:rPr>
          <w:rFonts w:ascii="黑体" w:hAnsi="黑体" w:eastAsia="黑体"/>
          <w:sz w:val="32"/>
          <w:szCs w:val="32"/>
        </w:rPr>
      </w:pPr>
      <w:r>
        <w:rPr>
          <w:rFonts w:hint="eastAsia" w:ascii="黑体" w:hAnsi="黑体" w:eastAsia="黑体"/>
          <w:sz w:val="32"/>
          <w:szCs w:val="32"/>
        </w:rPr>
        <w:t>第三部分：机关运行经费安排情况</w:t>
      </w:r>
    </w:p>
    <w:p w14:paraId="20BC24BE">
      <w:pPr>
        <w:spacing w:line="520" w:lineRule="exact"/>
        <w:jc w:val="center"/>
        <w:outlineLvl w:val="0"/>
        <w:rPr>
          <w:rFonts w:ascii="黑体" w:hAnsi="黑体" w:eastAsia="黑体"/>
          <w:sz w:val="32"/>
          <w:szCs w:val="32"/>
        </w:rPr>
      </w:pPr>
    </w:p>
    <w:p w14:paraId="5B669E47">
      <w:pPr>
        <w:spacing w:line="520" w:lineRule="exact"/>
        <w:ind w:firstLine="640" w:firstLineChars="200"/>
        <w:jc w:val="left"/>
        <w:outlineLvl w:val="0"/>
        <w:rPr>
          <w:rFonts w:ascii="仿宋" w:hAnsi="仿宋" w:eastAsia="仿宋"/>
          <w:sz w:val="32"/>
          <w:szCs w:val="32"/>
        </w:rPr>
      </w:pPr>
      <w:r>
        <w:rPr>
          <w:rFonts w:hint="eastAsia" w:ascii="仿宋" w:hAnsi="仿宋" w:eastAsia="仿宋"/>
          <w:sz w:val="32"/>
          <w:szCs w:val="32"/>
        </w:rPr>
        <w:t>中国人民政治协商会议河北省阜平县委员会机关运行经费安排49.95万元，其中办公费23.46万元，邮电费6.54万元，差旅费1.2万元，一般会议费0.5万元，公务接待费0.6万元，公务用车运行维护费8万元，其他交通费用9.65万元。</w:t>
      </w:r>
    </w:p>
    <w:p w14:paraId="41F89FD1">
      <w:pPr>
        <w:jc w:val="center"/>
        <w:outlineLvl w:val="0"/>
        <w:rPr>
          <w:rFonts w:ascii="黑体" w:hAnsi="黑体" w:eastAsia="黑体"/>
          <w:b/>
          <w:sz w:val="32"/>
        </w:rPr>
      </w:pPr>
    </w:p>
    <w:p w14:paraId="58BE5FF8">
      <w:pPr>
        <w:spacing w:line="520" w:lineRule="exact"/>
        <w:jc w:val="center"/>
        <w:outlineLvl w:val="0"/>
        <w:rPr>
          <w:rFonts w:ascii="黑体" w:hAnsi="黑体" w:eastAsia="黑体"/>
          <w:sz w:val="32"/>
          <w:szCs w:val="32"/>
        </w:rPr>
      </w:pPr>
      <w:r>
        <w:rPr>
          <w:rFonts w:hint="eastAsia" w:ascii="黑体" w:hAnsi="黑体" w:eastAsia="黑体"/>
          <w:sz w:val="32"/>
          <w:szCs w:val="32"/>
        </w:rPr>
        <w:t>第四部分：财政拨款“三公”经费预算情况及增减变化原因</w:t>
      </w:r>
    </w:p>
    <w:p w14:paraId="6179DFEE">
      <w:pPr>
        <w:spacing w:line="520" w:lineRule="exact"/>
        <w:jc w:val="center"/>
        <w:outlineLvl w:val="0"/>
        <w:rPr>
          <w:rFonts w:ascii="黑体" w:hAnsi="黑体" w:eastAsia="黑体"/>
          <w:sz w:val="32"/>
          <w:szCs w:val="32"/>
        </w:rPr>
      </w:pPr>
    </w:p>
    <w:tbl>
      <w:tblPr>
        <w:tblStyle w:val="4"/>
        <w:tblW w:w="9855" w:type="dxa"/>
        <w:tblInd w:w="0" w:type="dxa"/>
        <w:tblLayout w:type="fixed"/>
        <w:tblCellMar>
          <w:top w:w="0" w:type="dxa"/>
          <w:left w:w="108" w:type="dxa"/>
          <w:bottom w:w="0" w:type="dxa"/>
          <w:right w:w="108" w:type="dxa"/>
        </w:tblCellMar>
      </w:tblPr>
      <w:tblGrid>
        <w:gridCol w:w="2136"/>
        <w:gridCol w:w="1799"/>
        <w:gridCol w:w="1800"/>
        <w:gridCol w:w="1177"/>
        <w:gridCol w:w="2943"/>
      </w:tblGrid>
      <w:tr w14:paraId="68D9CDA8">
        <w:tblPrEx>
          <w:tblCellMar>
            <w:top w:w="0" w:type="dxa"/>
            <w:left w:w="108" w:type="dxa"/>
            <w:bottom w:w="0" w:type="dxa"/>
            <w:right w:w="108" w:type="dxa"/>
          </w:tblCellMar>
        </w:tblPrEx>
        <w:trPr>
          <w:trHeight w:val="405" w:hRule="atLeast"/>
        </w:trPr>
        <w:tc>
          <w:tcPr>
            <w:tcW w:w="9855" w:type="dxa"/>
            <w:gridSpan w:val="5"/>
            <w:tcBorders>
              <w:top w:val="nil"/>
              <w:left w:val="nil"/>
              <w:bottom w:val="nil"/>
              <w:right w:val="nil"/>
            </w:tcBorders>
            <w:shd w:val="clear" w:color="auto" w:fill="auto"/>
            <w:vAlign w:val="center"/>
          </w:tcPr>
          <w:p w14:paraId="70B79D50">
            <w:pPr>
              <w:widowControl/>
              <w:spacing w:line="520" w:lineRule="exact"/>
              <w:jc w:val="center"/>
              <w:rPr>
                <w:rFonts w:ascii="黑体" w:hAnsi="黑体" w:eastAsia="黑体" w:cs="宋体"/>
                <w:kern w:val="0"/>
                <w:sz w:val="32"/>
                <w:szCs w:val="32"/>
              </w:rPr>
            </w:pPr>
            <w:r>
              <w:rPr>
                <w:rFonts w:hint="eastAsia" w:ascii="黑体" w:hAnsi="黑体" w:eastAsia="黑体"/>
                <w:sz w:val="32"/>
                <w:szCs w:val="32"/>
              </w:rPr>
              <w:t>“三公”经费预算情况及增减变化原因</w:t>
            </w:r>
          </w:p>
        </w:tc>
      </w:tr>
      <w:tr w14:paraId="487E3F6B">
        <w:tblPrEx>
          <w:tblCellMar>
            <w:top w:w="0" w:type="dxa"/>
            <w:left w:w="108" w:type="dxa"/>
            <w:bottom w:w="0" w:type="dxa"/>
            <w:right w:w="108" w:type="dxa"/>
          </w:tblCellMar>
        </w:tblPrEx>
        <w:trPr>
          <w:trHeight w:val="221" w:hRule="atLeast"/>
        </w:trPr>
        <w:tc>
          <w:tcPr>
            <w:tcW w:w="2136" w:type="dxa"/>
            <w:tcBorders>
              <w:top w:val="nil"/>
              <w:left w:val="nil"/>
              <w:bottom w:val="nil"/>
              <w:right w:val="nil"/>
            </w:tcBorders>
            <w:shd w:val="clear" w:color="auto" w:fill="auto"/>
            <w:vAlign w:val="center"/>
          </w:tcPr>
          <w:p w14:paraId="02E2C1D8">
            <w:pPr>
              <w:widowControl/>
              <w:jc w:val="left"/>
              <w:rPr>
                <w:rFonts w:ascii="宋体" w:hAnsi="宋体" w:cs="宋体"/>
                <w:kern w:val="0"/>
                <w:sz w:val="24"/>
                <w:szCs w:val="24"/>
              </w:rPr>
            </w:pPr>
          </w:p>
        </w:tc>
        <w:tc>
          <w:tcPr>
            <w:tcW w:w="1799" w:type="dxa"/>
            <w:tcBorders>
              <w:top w:val="nil"/>
              <w:left w:val="nil"/>
              <w:bottom w:val="nil"/>
              <w:right w:val="nil"/>
            </w:tcBorders>
            <w:shd w:val="clear" w:color="auto" w:fill="auto"/>
            <w:vAlign w:val="center"/>
          </w:tcPr>
          <w:p w14:paraId="1444D1EA">
            <w:pPr>
              <w:widowControl/>
              <w:jc w:val="left"/>
              <w:rPr>
                <w:rFonts w:ascii="宋体" w:hAnsi="宋体" w:cs="宋体"/>
                <w:kern w:val="0"/>
                <w:sz w:val="24"/>
                <w:szCs w:val="24"/>
              </w:rPr>
            </w:pPr>
          </w:p>
        </w:tc>
        <w:tc>
          <w:tcPr>
            <w:tcW w:w="1800" w:type="dxa"/>
            <w:tcBorders>
              <w:top w:val="nil"/>
              <w:left w:val="nil"/>
              <w:bottom w:val="nil"/>
              <w:right w:val="nil"/>
            </w:tcBorders>
            <w:shd w:val="clear" w:color="auto" w:fill="auto"/>
            <w:vAlign w:val="center"/>
          </w:tcPr>
          <w:p w14:paraId="7B209FF8">
            <w:pPr>
              <w:widowControl/>
              <w:jc w:val="left"/>
              <w:rPr>
                <w:rFonts w:ascii="宋体" w:hAnsi="宋体" w:cs="宋体"/>
                <w:kern w:val="0"/>
                <w:sz w:val="24"/>
                <w:szCs w:val="24"/>
              </w:rPr>
            </w:pPr>
          </w:p>
        </w:tc>
        <w:tc>
          <w:tcPr>
            <w:tcW w:w="1177" w:type="dxa"/>
            <w:tcBorders>
              <w:top w:val="nil"/>
              <w:left w:val="nil"/>
              <w:bottom w:val="nil"/>
              <w:right w:val="nil"/>
            </w:tcBorders>
            <w:shd w:val="clear" w:color="auto" w:fill="auto"/>
            <w:vAlign w:val="center"/>
          </w:tcPr>
          <w:p w14:paraId="2F50EE09">
            <w:pPr>
              <w:widowControl/>
              <w:jc w:val="left"/>
              <w:rPr>
                <w:rFonts w:ascii="宋体" w:hAnsi="宋体" w:cs="宋体"/>
                <w:kern w:val="0"/>
                <w:sz w:val="24"/>
                <w:szCs w:val="24"/>
              </w:rPr>
            </w:pPr>
          </w:p>
        </w:tc>
        <w:tc>
          <w:tcPr>
            <w:tcW w:w="2943" w:type="dxa"/>
            <w:tcBorders>
              <w:top w:val="nil"/>
              <w:left w:val="nil"/>
              <w:bottom w:val="nil"/>
              <w:right w:val="nil"/>
            </w:tcBorders>
            <w:shd w:val="clear" w:color="auto" w:fill="auto"/>
            <w:vAlign w:val="center"/>
          </w:tcPr>
          <w:p w14:paraId="7D993D56">
            <w:pPr>
              <w:widowControl/>
              <w:jc w:val="right"/>
              <w:rPr>
                <w:rFonts w:ascii="宋体" w:hAnsi="宋体" w:cs="宋体"/>
                <w:kern w:val="0"/>
                <w:sz w:val="24"/>
                <w:szCs w:val="24"/>
              </w:rPr>
            </w:pPr>
            <w:r>
              <w:rPr>
                <w:rFonts w:hint="eastAsia" w:ascii="宋体" w:hAnsi="宋体" w:cs="宋体"/>
                <w:kern w:val="0"/>
                <w:sz w:val="24"/>
                <w:szCs w:val="24"/>
              </w:rPr>
              <w:t>单位：万元</w:t>
            </w:r>
          </w:p>
        </w:tc>
      </w:tr>
      <w:tr w14:paraId="09615851">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shd w:val="clear" w:color="auto" w:fill="auto"/>
            <w:vAlign w:val="center"/>
          </w:tcPr>
          <w:p w14:paraId="51337E38">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项目名称</w:t>
            </w:r>
          </w:p>
        </w:tc>
        <w:tc>
          <w:tcPr>
            <w:tcW w:w="1799" w:type="dxa"/>
            <w:tcBorders>
              <w:top w:val="single" w:color="auto" w:sz="4" w:space="0"/>
              <w:left w:val="nil"/>
              <w:bottom w:val="single" w:color="auto" w:sz="4" w:space="0"/>
              <w:right w:val="single" w:color="auto" w:sz="4" w:space="0"/>
            </w:tcBorders>
            <w:shd w:val="clear" w:color="auto" w:fill="auto"/>
            <w:vAlign w:val="center"/>
          </w:tcPr>
          <w:p w14:paraId="5AC46D43">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2018年度预算</w:t>
            </w:r>
          </w:p>
        </w:tc>
        <w:tc>
          <w:tcPr>
            <w:tcW w:w="1800" w:type="dxa"/>
            <w:tcBorders>
              <w:top w:val="single" w:color="auto" w:sz="4" w:space="0"/>
              <w:left w:val="nil"/>
              <w:bottom w:val="single" w:color="auto" w:sz="4" w:space="0"/>
              <w:right w:val="single" w:color="auto" w:sz="4" w:space="0"/>
            </w:tcBorders>
            <w:shd w:val="clear" w:color="auto" w:fill="auto"/>
            <w:vAlign w:val="center"/>
          </w:tcPr>
          <w:p w14:paraId="7E812EB8">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2019年度预算</w:t>
            </w:r>
          </w:p>
        </w:tc>
        <w:tc>
          <w:tcPr>
            <w:tcW w:w="1177" w:type="dxa"/>
            <w:tcBorders>
              <w:top w:val="single" w:color="auto" w:sz="4" w:space="0"/>
              <w:left w:val="nil"/>
              <w:bottom w:val="single" w:color="auto" w:sz="4" w:space="0"/>
              <w:right w:val="single" w:color="auto" w:sz="4" w:space="0"/>
            </w:tcBorders>
            <w:shd w:val="clear" w:color="auto" w:fill="auto"/>
            <w:vAlign w:val="center"/>
          </w:tcPr>
          <w:p w14:paraId="79B19091">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增减金额</w:t>
            </w:r>
          </w:p>
        </w:tc>
        <w:tc>
          <w:tcPr>
            <w:tcW w:w="2943" w:type="dxa"/>
            <w:tcBorders>
              <w:top w:val="single" w:color="auto" w:sz="4" w:space="0"/>
              <w:left w:val="nil"/>
              <w:bottom w:val="single" w:color="auto" w:sz="4" w:space="0"/>
              <w:right w:val="single" w:color="auto" w:sz="4" w:space="0"/>
            </w:tcBorders>
            <w:shd w:val="clear" w:color="auto" w:fill="auto"/>
            <w:vAlign w:val="center"/>
          </w:tcPr>
          <w:p w14:paraId="72022DAE">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变化原因</w:t>
            </w:r>
          </w:p>
        </w:tc>
      </w:tr>
      <w:tr w14:paraId="7BDA1724">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01D66E17">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因公出国经费</w:t>
            </w:r>
          </w:p>
        </w:tc>
        <w:tc>
          <w:tcPr>
            <w:tcW w:w="1799" w:type="dxa"/>
            <w:tcBorders>
              <w:top w:val="nil"/>
              <w:left w:val="nil"/>
              <w:bottom w:val="single" w:color="auto" w:sz="4" w:space="0"/>
              <w:right w:val="single" w:color="auto" w:sz="4" w:space="0"/>
            </w:tcBorders>
            <w:shd w:val="clear" w:color="auto" w:fill="auto"/>
            <w:vAlign w:val="center"/>
          </w:tcPr>
          <w:p w14:paraId="3B30E8AE">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800" w:type="dxa"/>
            <w:tcBorders>
              <w:top w:val="nil"/>
              <w:left w:val="nil"/>
              <w:bottom w:val="single" w:color="auto" w:sz="4" w:space="0"/>
              <w:right w:val="single" w:color="auto" w:sz="4" w:space="0"/>
            </w:tcBorders>
            <w:shd w:val="clear" w:color="auto" w:fill="auto"/>
            <w:vAlign w:val="center"/>
          </w:tcPr>
          <w:p w14:paraId="5164F404">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177" w:type="dxa"/>
            <w:tcBorders>
              <w:top w:val="nil"/>
              <w:left w:val="nil"/>
              <w:bottom w:val="single" w:color="auto" w:sz="4" w:space="0"/>
              <w:right w:val="single" w:color="auto" w:sz="4" w:space="0"/>
            </w:tcBorders>
            <w:shd w:val="clear" w:color="auto" w:fill="auto"/>
            <w:vAlign w:val="center"/>
          </w:tcPr>
          <w:p w14:paraId="378CE573">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7B18D806">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11B6B486">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2B535187">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公务用车购置经费</w:t>
            </w:r>
          </w:p>
        </w:tc>
        <w:tc>
          <w:tcPr>
            <w:tcW w:w="1799" w:type="dxa"/>
            <w:tcBorders>
              <w:top w:val="nil"/>
              <w:left w:val="nil"/>
              <w:bottom w:val="single" w:color="auto" w:sz="4" w:space="0"/>
              <w:right w:val="single" w:color="auto" w:sz="4" w:space="0"/>
            </w:tcBorders>
            <w:shd w:val="clear" w:color="auto" w:fill="auto"/>
            <w:vAlign w:val="center"/>
          </w:tcPr>
          <w:p w14:paraId="361619B4">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800" w:type="dxa"/>
            <w:tcBorders>
              <w:top w:val="nil"/>
              <w:left w:val="nil"/>
              <w:bottom w:val="single" w:color="auto" w:sz="4" w:space="0"/>
              <w:right w:val="single" w:color="auto" w:sz="4" w:space="0"/>
            </w:tcBorders>
            <w:shd w:val="clear" w:color="auto" w:fill="auto"/>
            <w:vAlign w:val="center"/>
          </w:tcPr>
          <w:p w14:paraId="6710EDC1">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177" w:type="dxa"/>
            <w:tcBorders>
              <w:top w:val="nil"/>
              <w:left w:val="nil"/>
              <w:bottom w:val="single" w:color="auto" w:sz="4" w:space="0"/>
              <w:right w:val="single" w:color="auto" w:sz="4" w:space="0"/>
            </w:tcBorders>
            <w:shd w:val="clear" w:color="auto" w:fill="auto"/>
            <w:vAlign w:val="center"/>
          </w:tcPr>
          <w:p w14:paraId="5237542A">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2AEDADDB">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2D28EEFE">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0A10A693">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公务用车运行经费</w:t>
            </w:r>
          </w:p>
        </w:tc>
        <w:tc>
          <w:tcPr>
            <w:tcW w:w="1799" w:type="dxa"/>
            <w:tcBorders>
              <w:top w:val="nil"/>
              <w:left w:val="nil"/>
              <w:bottom w:val="single" w:color="auto" w:sz="4" w:space="0"/>
              <w:right w:val="single" w:color="auto" w:sz="4" w:space="0"/>
            </w:tcBorders>
            <w:shd w:val="clear" w:color="auto" w:fill="auto"/>
            <w:vAlign w:val="center"/>
          </w:tcPr>
          <w:p w14:paraId="6331FC0A">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800" w:type="dxa"/>
            <w:tcBorders>
              <w:top w:val="nil"/>
              <w:left w:val="nil"/>
              <w:bottom w:val="single" w:color="auto" w:sz="4" w:space="0"/>
              <w:right w:val="single" w:color="auto" w:sz="4" w:space="0"/>
            </w:tcBorders>
            <w:shd w:val="clear" w:color="auto" w:fill="auto"/>
            <w:vAlign w:val="center"/>
          </w:tcPr>
          <w:p w14:paraId="2D241BC7">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177" w:type="dxa"/>
            <w:tcBorders>
              <w:top w:val="nil"/>
              <w:left w:val="nil"/>
              <w:bottom w:val="single" w:color="auto" w:sz="4" w:space="0"/>
              <w:right w:val="single" w:color="auto" w:sz="4" w:space="0"/>
            </w:tcBorders>
            <w:shd w:val="clear" w:color="auto" w:fill="auto"/>
            <w:vAlign w:val="center"/>
          </w:tcPr>
          <w:p w14:paraId="06C07DCA">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698732DA">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1422D5BB">
        <w:tblPrEx>
          <w:tblCellMar>
            <w:top w:w="0" w:type="dxa"/>
            <w:left w:w="108" w:type="dxa"/>
            <w:bottom w:w="0" w:type="dxa"/>
            <w:right w:w="108" w:type="dxa"/>
          </w:tblCellMar>
        </w:tblPrEx>
        <w:trPr>
          <w:trHeight w:val="85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69C92862">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公务接待费支出</w:t>
            </w:r>
          </w:p>
        </w:tc>
        <w:tc>
          <w:tcPr>
            <w:tcW w:w="1799" w:type="dxa"/>
            <w:tcBorders>
              <w:top w:val="nil"/>
              <w:left w:val="nil"/>
              <w:bottom w:val="single" w:color="auto" w:sz="4" w:space="0"/>
              <w:right w:val="single" w:color="auto" w:sz="4" w:space="0"/>
            </w:tcBorders>
            <w:shd w:val="clear" w:color="auto" w:fill="auto"/>
            <w:vAlign w:val="center"/>
          </w:tcPr>
          <w:p w14:paraId="0E8FE77F">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0.6</w:t>
            </w:r>
          </w:p>
        </w:tc>
        <w:tc>
          <w:tcPr>
            <w:tcW w:w="1800" w:type="dxa"/>
            <w:tcBorders>
              <w:top w:val="nil"/>
              <w:left w:val="nil"/>
              <w:bottom w:val="single" w:color="auto" w:sz="4" w:space="0"/>
              <w:right w:val="single" w:color="auto" w:sz="4" w:space="0"/>
            </w:tcBorders>
            <w:shd w:val="clear" w:color="auto" w:fill="auto"/>
            <w:vAlign w:val="center"/>
          </w:tcPr>
          <w:p w14:paraId="01E7C96D">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0.6</w:t>
            </w:r>
          </w:p>
        </w:tc>
        <w:tc>
          <w:tcPr>
            <w:tcW w:w="1177" w:type="dxa"/>
            <w:tcBorders>
              <w:top w:val="nil"/>
              <w:left w:val="nil"/>
              <w:bottom w:val="single" w:color="auto" w:sz="4" w:space="0"/>
              <w:right w:val="single" w:color="auto" w:sz="4" w:space="0"/>
            </w:tcBorders>
            <w:shd w:val="clear" w:color="auto" w:fill="auto"/>
            <w:vAlign w:val="center"/>
          </w:tcPr>
          <w:p w14:paraId="351DBC05">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1A05D9E3">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37448144">
        <w:tblPrEx>
          <w:tblCellMar>
            <w:top w:w="0" w:type="dxa"/>
            <w:left w:w="108" w:type="dxa"/>
            <w:bottom w:w="0" w:type="dxa"/>
            <w:right w:w="108" w:type="dxa"/>
          </w:tblCellMar>
        </w:tblPrEx>
        <w:trPr>
          <w:trHeight w:val="1140"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7E95C50C">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合计</w:t>
            </w:r>
          </w:p>
        </w:tc>
        <w:tc>
          <w:tcPr>
            <w:tcW w:w="1799" w:type="dxa"/>
            <w:tcBorders>
              <w:top w:val="nil"/>
              <w:left w:val="nil"/>
              <w:bottom w:val="single" w:color="auto" w:sz="4" w:space="0"/>
              <w:right w:val="single" w:color="auto" w:sz="4" w:space="0"/>
            </w:tcBorders>
            <w:shd w:val="clear" w:color="auto" w:fill="auto"/>
            <w:vAlign w:val="center"/>
          </w:tcPr>
          <w:p w14:paraId="25D62970">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8.6</w:t>
            </w:r>
          </w:p>
        </w:tc>
        <w:tc>
          <w:tcPr>
            <w:tcW w:w="1800" w:type="dxa"/>
            <w:tcBorders>
              <w:top w:val="nil"/>
              <w:left w:val="nil"/>
              <w:bottom w:val="single" w:color="auto" w:sz="4" w:space="0"/>
              <w:right w:val="single" w:color="auto" w:sz="4" w:space="0"/>
            </w:tcBorders>
            <w:shd w:val="clear" w:color="auto" w:fill="auto"/>
            <w:vAlign w:val="center"/>
          </w:tcPr>
          <w:p w14:paraId="1458B6BF">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8.6</w:t>
            </w:r>
          </w:p>
        </w:tc>
        <w:tc>
          <w:tcPr>
            <w:tcW w:w="1177" w:type="dxa"/>
            <w:tcBorders>
              <w:top w:val="nil"/>
              <w:left w:val="nil"/>
              <w:bottom w:val="single" w:color="auto" w:sz="4" w:space="0"/>
              <w:right w:val="single" w:color="auto" w:sz="4" w:space="0"/>
            </w:tcBorders>
            <w:shd w:val="clear" w:color="auto" w:fill="auto"/>
            <w:vAlign w:val="center"/>
          </w:tcPr>
          <w:p w14:paraId="2C744426">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51EDBBE3">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18664B4C">
        <w:tblPrEx>
          <w:tblCellMar>
            <w:top w:w="0" w:type="dxa"/>
            <w:left w:w="108" w:type="dxa"/>
            <w:bottom w:w="0" w:type="dxa"/>
            <w:right w:w="108" w:type="dxa"/>
          </w:tblCellMar>
        </w:tblPrEx>
        <w:trPr>
          <w:trHeight w:val="285" w:hRule="atLeast"/>
        </w:trPr>
        <w:tc>
          <w:tcPr>
            <w:tcW w:w="2136" w:type="dxa"/>
            <w:tcBorders>
              <w:top w:val="nil"/>
              <w:left w:val="nil"/>
              <w:bottom w:val="nil"/>
              <w:right w:val="nil"/>
            </w:tcBorders>
            <w:shd w:val="clear" w:color="auto" w:fill="auto"/>
            <w:vAlign w:val="center"/>
          </w:tcPr>
          <w:p w14:paraId="714CE8B4">
            <w:pPr>
              <w:widowControl/>
              <w:jc w:val="left"/>
              <w:rPr>
                <w:rFonts w:ascii="宋体" w:hAnsi="宋体" w:cs="宋体"/>
                <w:kern w:val="0"/>
                <w:sz w:val="24"/>
                <w:szCs w:val="24"/>
              </w:rPr>
            </w:pPr>
          </w:p>
        </w:tc>
        <w:tc>
          <w:tcPr>
            <w:tcW w:w="1799" w:type="dxa"/>
            <w:tcBorders>
              <w:top w:val="nil"/>
              <w:left w:val="nil"/>
              <w:bottom w:val="nil"/>
              <w:right w:val="nil"/>
            </w:tcBorders>
            <w:shd w:val="clear" w:color="auto" w:fill="auto"/>
            <w:vAlign w:val="center"/>
          </w:tcPr>
          <w:p w14:paraId="3F91EC8C">
            <w:pPr>
              <w:widowControl/>
              <w:jc w:val="left"/>
              <w:rPr>
                <w:rFonts w:ascii="宋体" w:hAnsi="宋体" w:cs="宋体"/>
                <w:kern w:val="0"/>
                <w:sz w:val="24"/>
                <w:szCs w:val="24"/>
              </w:rPr>
            </w:pPr>
          </w:p>
        </w:tc>
        <w:tc>
          <w:tcPr>
            <w:tcW w:w="1800" w:type="dxa"/>
            <w:tcBorders>
              <w:top w:val="nil"/>
              <w:left w:val="nil"/>
              <w:bottom w:val="nil"/>
              <w:right w:val="nil"/>
            </w:tcBorders>
            <w:shd w:val="clear" w:color="auto" w:fill="auto"/>
            <w:vAlign w:val="center"/>
          </w:tcPr>
          <w:p w14:paraId="1BDC712A">
            <w:pPr>
              <w:widowControl/>
              <w:jc w:val="left"/>
              <w:rPr>
                <w:rFonts w:ascii="宋体" w:hAnsi="宋体" w:cs="宋体"/>
                <w:kern w:val="0"/>
                <w:sz w:val="24"/>
                <w:szCs w:val="24"/>
              </w:rPr>
            </w:pPr>
          </w:p>
        </w:tc>
        <w:tc>
          <w:tcPr>
            <w:tcW w:w="1177" w:type="dxa"/>
            <w:tcBorders>
              <w:top w:val="nil"/>
              <w:left w:val="nil"/>
              <w:bottom w:val="nil"/>
              <w:right w:val="nil"/>
            </w:tcBorders>
            <w:shd w:val="clear" w:color="auto" w:fill="auto"/>
            <w:vAlign w:val="center"/>
          </w:tcPr>
          <w:p w14:paraId="5707CC7B">
            <w:pPr>
              <w:widowControl/>
              <w:jc w:val="left"/>
              <w:rPr>
                <w:rFonts w:ascii="宋体" w:hAnsi="宋体" w:cs="宋体"/>
                <w:kern w:val="0"/>
                <w:sz w:val="24"/>
                <w:szCs w:val="24"/>
              </w:rPr>
            </w:pPr>
          </w:p>
        </w:tc>
        <w:tc>
          <w:tcPr>
            <w:tcW w:w="2943" w:type="dxa"/>
            <w:tcBorders>
              <w:top w:val="nil"/>
              <w:left w:val="nil"/>
              <w:bottom w:val="nil"/>
              <w:right w:val="nil"/>
            </w:tcBorders>
            <w:shd w:val="clear" w:color="auto" w:fill="auto"/>
            <w:vAlign w:val="center"/>
          </w:tcPr>
          <w:p w14:paraId="6D6D0A38">
            <w:pPr>
              <w:widowControl/>
              <w:jc w:val="left"/>
              <w:rPr>
                <w:rFonts w:ascii="宋体" w:hAnsi="宋体" w:cs="宋体"/>
                <w:kern w:val="0"/>
                <w:sz w:val="24"/>
                <w:szCs w:val="24"/>
              </w:rPr>
            </w:pPr>
          </w:p>
        </w:tc>
      </w:tr>
    </w:tbl>
    <w:p w14:paraId="0BF2AC6C">
      <w:pPr>
        <w:outlineLvl w:val="0"/>
        <w:rPr>
          <w:rFonts w:ascii="黑体" w:hAnsi="黑体" w:eastAsia="黑体"/>
          <w:b/>
          <w:sz w:val="32"/>
        </w:rPr>
      </w:pPr>
    </w:p>
    <w:p w14:paraId="5770923E">
      <w:pPr>
        <w:jc w:val="center"/>
        <w:outlineLvl w:val="0"/>
        <w:rPr>
          <w:rFonts w:ascii="黑体" w:hAnsi="黑体" w:eastAsia="黑体"/>
          <w:sz w:val="32"/>
          <w:szCs w:val="32"/>
        </w:rPr>
      </w:pPr>
      <w:r>
        <w:rPr>
          <w:rFonts w:hint="eastAsia" w:ascii="黑体" w:hAnsi="黑体" w:eastAsia="黑体"/>
          <w:sz w:val="32"/>
          <w:szCs w:val="32"/>
        </w:rPr>
        <w:t>第五部分：绩效预算信息</w:t>
      </w:r>
    </w:p>
    <w:p w14:paraId="00EF3EA6">
      <w:pPr>
        <w:jc w:val="center"/>
        <w:outlineLvl w:val="0"/>
        <w:rPr>
          <w:rFonts w:ascii="宋体" w:hAnsi="宋体"/>
        </w:rPr>
      </w:pPr>
      <w:r>
        <w:rPr>
          <w:rFonts w:ascii="宋体" w:hAnsi="宋体"/>
        </w:rPr>
        <w:t xml:space="preserve"> </w:t>
      </w:r>
    </w:p>
    <w:p w14:paraId="3C0AA3D5">
      <w:pPr>
        <w:spacing w:line="520" w:lineRule="exact"/>
        <w:ind w:firstLine="643" w:firstLineChars="200"/>
        <w:jc w:val="left"/>
        <w:rPr>
          <w:rFonts w:ascii="黑体" w:hAnsi="黑体" w:eastAsia="黑体"/>
          <w:b/>
          <w:sz w:val="32"/>
          <w:szCs w:val="32"/>
        </w:rPr>
      </w:pPr>
      <w:r>
        <w:rPr>
          <w:rFonts w:hint="eastAsia" w:ascii="黑体" w:hAnsi="黑体" w:eastAsia="黑体"/>
          <w:b/>
          <w:sz w:val="32"/>
          <w:szCs w:val="32"/>
        </w:rPr>
        <w:t>一、总体绩效目标：</w:t>
      </w:r>
    </w:p>
    <w:p w14:paraId="13C3597A">
      <w:pPr>
        <w:spacing w:line="500" w:lineRule="exact"/>
        <w:ind w:firstLine="560"/>
        <w:rPr>
          <w:rFonts w:ascii="仿宋" w:hAnsi="仿宋" w:eastAsia="仿宋"/>
          <w:b/>
          <w:sz w:val="32"/>
          <w:szCs w:val="32"/>
        </w:rPr>
      </w:pPr>
      <w:r>
        <w:rPr>
          <w:rFonts w:ascii="仿宋" w:hAnsi="仿宋" w:eastAsia="仿宋"/>
          <w:b/>
          <w:sz w:val="32"/>
          <w:szCs w:val="32"/>
        </w:rPr>
        <w:t>一、工作思路</w:t>
      </w:r>
    </w:p>
    <w:p w14:paraId="58F2ACD2">
      <w:pPr>
        <w:spacing w:line="560" w:lineRule="exact"/>
        <w:ind w:firstLine="640" w:firstLineChars="200"/>
        <w:rPr>
          <w:rFonts w:ascii="仿宋" w:hAnsi="仿宋" w:eastAsia="仿宋"/>
          <w:sz w:val="32"/>
          <w:szCs w:val="32"/>
        </w:rPr>
      </w:pPr>
      <w:r>
        <w:rPr>
          <w:rFonts w:hint="eastAsia" w:ascii="仿宋" w:hAnsi="仿宋" w:eastAsia="仿宋" w:cs="仿宋"/>
          <w:sz w:val="32"/>
          <w:szCs w:val="32"/>
        </w:rPr>
        <w:t>2019年，县政协将在中共阜平县委的坚强领导下，认真贯彻落实党的十九大精神、</w:t>
      </w:r>
      <w:r>
        <w:rPr>
          <w:rFonts w:hint="eastAsia" w:ascii="仿宋" w:hAnsi="仿宋" w:eastAsia="仿宋"/>
          <w:sz w:val="32"/>
          <w:szCs w:val="32"/>
        </w:rPr>
        <w:t>习近平总书记系列重要讲话和视察阜平重要讲话精神，按照县“两会”的安排部署，紧紧围绕“2019年实现全面脱贫”总目标，牢牢把握团结、民主两大主题，</w:t>
      </w:r>
      <w:r>
        <w:rPr>
          <w:rFonts w:hint="eastAsia" w:ascii="仿宋" w:hAnsi="仿宋" w:eastAsia="仿宋" w:cs="仿宋"/>
          <w:sz w:val="32"/>
          <w:szCs w:val="32"/>
        </w:rPr>
        <w:t>充分发挥政治协商、民主监督、参政议政职能，</w:t>
      </w:r>
      <w:r>
        <w:rPr>
          <w:rFonts w:hint="eastAsia" w:ascii="仿宋" w:hAnsi="仿宋" w:eastAsia="仿宋"/>
          <w:sz w:val="32"/>
          <w:szCs w:val="32"/>
        </w:rPr>
        <w:t>多措并举，服务大局，围绕脱贫攻坚献计出力。</w:t>
      </w:r>
    </w:p>
    <w:p w14:paraId="6DFA2D81">
      <w:pPr>
        <w:spacing w:line="560" w:lineRule="exact"/>
        <w:ind w:firstLine="643" w:firstLineChars="200"/>
        <w:rPr>
          <w:rFonts w:ascii="仿宋" w:hAnsi="仿宋" w:eastAsia="仿宋"/>
          <w:b/>
          <w:bCs/>
          <w:sz w:val="32"/>
          <w:szCs w:val="32"/>
        </w:rPr>
      </w:pPr>
      <w:r>
        <w:rPr>
          <w:rFonts w:hint="eastAsia" w:ascii="仿宋" w:hAnsi="仿宋" w:eastAsia="仿宋"/>
          <w:b/>
          <w:bCs/>
          <w:sz w:val="32"/>
          <w:szCs w:val="32"/>
        </w:rPr>
        <w:t>（二）</w:t>
      </w:r>
      <w:r>
        <w:rPr>
          <w:rFonts w:hint="eastAsia" w:ascii="黑体" w:hAnsi="黑体" w:eastAsia="黑体" w:cs="黑体"/>
          <w:sz w:val="32"/>
          <w:szCs w:val="32"/>
        </w:rPr>
        <w:t>任务目标和具体举措：</w:t>
      </w:r>
    </w:p>
    <w:p w14:paraId="2CA2D891">
      <w:pPr>
        <w:spacing w:line="560" w:lineRule="exact"/>
        <w:ind w:firstLine="643" w:firstLineChars="200"/>
        <w:rPr>
          <w:rFonts w:ascii="仿宋" w:hAnsi="仿宋" w:eastAsia="仿宋" w:cs="仿宋"/>
          <w:sz w:val="32"/>
          <w:szCs w:val="32"/>
        </w:rPr>
      </w:pPr>
      <w:r>
        <w:rPr>
          <w:rFonts w:hint="eastAsia" w:ascii="仿宋" w:hAnsi="仿宋" w:eastAsia="仿宋" w:cs="仿宋"/>
          <w:b/>
          <w:bCs/>
          <w:sz w:val="32"/>
          <w:szCs w:val="32"/>
        </w:rPr>
        <w:t>1、做好政治协商工作。</w:t>
      </w:r>
      <w:r>
        <w:rPr>
          <w:rFonts w:hint="eastAsia" w:ascii="仿宋" w:hAnsi="仿宋" w:eastAsia="仿宋" w:cs="仿宋"/>
          <w:sz w:val="32"/>
          <w:szCs w:val="32"/>
        </w:rPr>
        <w:t>围绕</w:t>
      </w:r>
      <w:r>
        <w:rPr>
          <w:rFonts w:hint="eastAsia" w:ascii="仿宋" w:hAnsi="仿宋" w:eastAsia="仿宋" w:cs="仿宋"/>
          <w:sz w:val="32"/>
          <w:szCs w:val="32"/>
          <w:lang w:eastAsia="zh-CN"/>
        </w:rPr>
        <w:t>县委县政府</w:t>
      </w:r>
      <w:r>
        <w:rPr>
          <w:rFonts w:hint="eastAsia" w:ascii="仿宋" w:hAnsi="仿宋" w:eastAsia="仿宋" w:cs="仿宋"/>
          <w:sz w:val="32"/>
          <w:szCs w:val="32"/>
        </w:rPr>
        <w:t>的重大决策部署，紧扣我县经济社会发展中的重点问题和涉及群众切身利益的热点问题，开好政协九届三次全会，充分利用政协全委会、常委会、专题协商会等广泛开展协商讨论，对重要的协商议题在深入调研的基础上，以调研报告、建议案等形式呈报县委，增强协商议政的针对性和实效性。</w:t>
      </w:r>
    </w:p>
    <w:p w14:paraId="1DF5EDCF">
      <w:pPr>
        <w:spacing w:line="560" w:lineRule="exact"/>
        <w:ind w:firstLine="643" w:firstLineChars="200"/>
        <w:rPr>
          <w:rFonts w:ascii="仿宋" w:hAnsi="仿宋" w:eastAsia="仿宋" w:cs="仿宋"/>
          <w:sz w:val="32"/>
          <w:szCs w:val="32"/>
        </w:rPr>
      </w:pPr>
      <w:r>
        <w:rPr>
          <w:rFonts w:hint="eastAsia" w:ascii="仿宋" w:hAnsi="仿宋" w:eastAsia="仿宋" w:cs="仿宋"/>
          <w:b/>
          <w:bCs/>
          <w:sz w:val="32"/>
          <w:szCs w:val="32"/>
        </w:rPr>
        <w:t>2、改进民主监督工作。</w:t>
      </w:r>
      <w:r>
        <w:rPr>
          <w:rFonts w:hint="eastAsia" w:ascii="仿宋" w:hAnsi="仿宋" w:eastAsia="仿宋" w:cs="仿宋"/>
          <w:sz w:val="32"/>
          <w:szCs w:val="32"/>
        </w:rPr>
        <w:t>通过政协全委会、常委会、情况通报会、委派民主监督小组等形式有序开展民主监督，对全县国民经济和社会发展计划、重点项目建设、民生实事落实完成情况，及县直部门依法行政、履职尽责、工作作风等方面提出意见、建议。</w:t>
      </w:r>
    </w:p>
    <w:p w14:paraId="1CF23568">
      <w:pPr>
        <w:spacing w:line="560" w:lineRule="exact"/>
        <w:ind w:firstLine="643" w:firstLineChars="200"/>
        <w:rPr>
          <w:rFonts w:ascii="仿宋" w:hAnsi="仿宋" w:eastAsia="仿宋" w:cs="仿宋"/>
          <w:sz w:val="32"/>
          <w:szCs w:val="32"/>
        </w:rPr>
      </w:pPr>
      <w:r>
        <w:rPr>
          <w:rFonts w:hint="eastAsia" w:ascii="仿宋" w:hAnsi="仿宋" w:eastAsia="仿宋" w:cs="仿宋"/>
          <w:b/>
          <w:bCs/>
          <w:sz w:val="32"/>
          <w:szCs w:val="32"/>
        </w:rPr>
        <w:t>3、提升提案、社情民意信息质量。</w:t>
      </w:r>
      <w:r>
        <w:rPr>
          <w:rFonts w:hint="eastAsia" w:ascii="仿宋" w:hAnsi="仿宋" w:eastAsia="仿宋" w:cs="仿宋"/>
          <w:sz w:val="32"/>
          <w:szCs w:val="32"/>
        </w:rPr>
        <w:t>坚持把提高提案质量作为提案工作的着力点，做好提案征集、立案审查等工作，注重社情民意信息的质量，在提升质量上下功夫。</w:t>
      </w:r>
    </w:p>
    <w:p w14:paraId="7DCDC7DA">
      <w:pPr>
        <w:spacing w:line="560" w:lineRule="exact"/>
        <w:ind w:firstLine="643" w:firstLineChars="200"/>
        <w:rPr>
          <w:rFonts w:ascii="仿宋" w:hAnsi="仿宋" w:eastAsia="仿宋" w:cs="仿宋"/>
          <w:sz w:val="32"/>
          <w:szCs w:val="32"/>
        </w:rPr>
      </w:pPr>
      <w:r>
        <w:rPr>
          <w:rFonts w:hint="eastAsia" w:ascii="仿宋" w:hAnsi="仿宋" w:eastAsia="仿宋" w:cs="仿宋"/>
          <w:b/>
          <w:bCs/>
          <w:sz w:val="32"/>
          <w:szCs w:val="32"/>
        </w:rPr>
        <w:t>4、服务发展大局，担当全县重点工作。</w:t>
      </w:r>
      <w:r>
        <w:rPr>
          <w:rFonts w:hint="eastAsia" w:ascii="仿宋" w:hAnsi="仿宋" w:eastAsia="仿宋" w:cs="仿宋"/>
          <w:sz w:val="32"/>
          <w:szCs w:val="32"/>
        </w:rPr>
        <w:t>按照</w:t>
      </w:r>
      <w:r>
        <w:rPr>
          <w:rFonts w:hint="eastAsia" w:ascii="仿宋" w:hAnsi="仿宋" w:eastAsia="仿宋" w:cs="仿宋"/>
          <w:sz w:val="32"/>
          <w:szCs w:val="32"/>
          <w:lang w:eastAsia="zh-CN"/>
        </w:rPr>
        <w:t>县委县政府</w:t>
      </w:r>
      <w:r>
        <w:rPr>
          <w:rFonts w:hint="eastAsia" w:ascii="仿宋" w:hAnsi="仿宋" w:eastAsia="仿宋" w:cs="仿宋"/>
          <w:sz w:val="32"/>
          <w:szCs w:val="32"/>
        </w:rPr>
        <w:t>重点项目（工作）任务分工，从谋划、协调、推进等工作入手，深入调查研究，尽心尽力做好包抓的重点项目（工作），引导支持委员在脱贫攻坚主战场，建功立业，为明年顺利脱贫出列做出贡献。</w:t>
      </w:r>
    </w:p>
    <w:p w14:paraId="30D18713">
      <w:pPr>
        <w:spacing w:line="560" w:lineRule="exact"/>
        <w:ind w:firstLine="643" w:firstLineChars="200"/>
        <w:rPr>
          <w:rFonts w:ascii="仿宋" w:hAnsi="仿宋" w:eastAsia="仿宋" w:cs="仿宋"/>
          <w:sz w:val="32"/>
          <w:szCs w:val="32"/>
        </w:rPr>
      </w:pPr>
      <w:r>
        <w:rPr>
          <w:rFonts w:hint="eastAsia" w:ascii="仿宋" w:hAnsi="仿宋" w:eastAsia="仿宋" w:cs="仿宋"/>
          <w:b/>
          <w:bCs/>
          <w:sz w:val="32"/>
          <w:szCs w:val="32"/>
        </w:rPr>
        <w:t>5、发挥政协优势，推进政协工作创新发展。</w:t>
      </w:r>
      <w:r>
        <w:rPr>
          <w:rFonts w:hint="eastAsia" w:ascii="仿宋" w:hAnsi="仿宋" w:eastAsia="仿宋" w:cs="仿宋"/>
          <w:sz w:val="32"/>
          <w:szCs w:val="32"/>
        </w:rPr>
        <w:t>组织委员开展贴近基层、贴近群众、贴近实际、了解社情民意活动，使委员有更多机会深入基层、深入群众，客观准确的反映社情民意；发挥委员“连心” 作用，坚持扶贫帮困，使更多的贫困学生、家庭得到资助；组织开展文化下乡活动，丰富基层群众的文化生活，提升广大人民群众的幸福感。</w:t>
      </w:r>
    </w:p>
    <w:p w14:paraId="11F177B5">
      <w:pPr>
        <w:spacing w:line="560" w:lineRule="exact"/>
        <w:ind w:left="105" w:leftChars="50" w:firstLine="482" w:firstLineChars="150"/>
        <w:rPr>
          <w:rFonts w:ascii="仿宋" w:hAnsi="仿宋" w:eastAsia="仿宋" w:cs="仿宋"/>
          <w:sz w:val="32"/>
          <w:szCs w:val="32"/>
        </w:rPr>
      </w:pPr>
      <w:r>
        <w:rPr>
          <w:rFonts w:hint="eastAsia" w:ascii="仿宋" w:hAnsi="仿宋" w:eastAsia="仿宋" w:cs="仿宋"/>
          <w:b/>
          <w:bCs/>
          <w:sz w:val="32"/>
          <w:szCs w:val="32"/>
        </w:rPr>
        <w:t>6、</w:t>
      </w:r>
      <w:r>
        <w:rPr>
          <w:rFonts w:hint="eastAsia" w:ascii="仿宋" w:hAnsi="仿宋" w:eastAsia="仿宋" w:cs="仿宋"/>
          <w:sz w:val="32"/>
          <w:szCs w:val="32"/>
        </w:rPr>
        <w:t>围绕</w:t>
      </w:r>
      <w:r>
        <w:rPr>
          <w:rFonts w:hint="eastAsia" w:ascii="仿宋" w:hAnsi="仿宋" w:eastAsia="仿宋" w:cs="仿宋"/>
          <w:sz w:val="32"/>
          <w:szCs w:val="32"/>
          <w:lang w:eastAsia="zh-CN"/>
        </w:rPr>
        <w:t>中华人民共和国成立</w:t>
      </w:r>
      <w:r>
        <w:rPr>
          <w:rFonts w:hint="eastAsia" w:ascii="仿宋" w:hAnsi="仿宋" w:eastAsia="仿宋" w:cs="仿宋"/>
          <w:sz w:val="32"/>
          <w:szCs w:val="32"/>
        </w:rPr>
        <w:t>七十周年，开展“五一口号”纪念活动，出版《</w:t>
      </w:r>
      <w:r>
        <w:rPr>
          <w:rFonts w:hint="eastAsia" w:ascii="仿宋" w:hAnsi="仿宋" w:eastAsia="仿宋" w:cs="仿宋"/>
          <w:sz w:val="32"/>
          <w:szCs w:val="32"/>
          <w:lang w:eastAsia="zh-CN"/>
        </w:rPr>
        <w:t>中华人民共和国成立</w:t>
      </w:r>
      <w:r>
        <w:rPr>
          <w:rFonts w:hint="eastAsia" w:ascii="仿宋" w:hAnsi="仿宋" w:eastAsia="仿宋" w:cs="仿宋"/>
          <w:sz w:val="32"/>
          <w:szCs w:val="32"/>
        </w:rPr>
        <w:t>基石--五一口号发布略记》一书。</w:t>
      </w:r>
    </w:p>
    <w:p w14:paraId="6FB58B05">
      <w:pPr>
        <w:spacing w:line="560" w:lineRule="exact"/>
        <w:ind w:left="105" w:leftChars="50" w:firstLine="482" w:firstLineChars="150"/>
        <w:rPr>
          <w:rFonts w:ascii="仿宋" w:hAnsi="仿宋" w:eastAsia="仿宋" w:cs="仿宋"/>
          <w:sz w:val="32"/>
          <w:szCs w:val="32"/>
        </w:rPr>
      </w:pPr>
      <w:r>
        <w:rPr>
          <w:rFonts w:hint="eastAsia" w:ascii="仿宋" w:hAnsi="仿宋" w:eastAsia="仿宋" w:cs="仿宋"/>
          <w:b/>
          <w:bCs/>
          <w:sz w:val="32"/>
          <w:szCs w:val="32"/>
        </w:rPr>
        <w:t>7、加强自身建设，为政协工作全面发展提供保障。</w:t>
      </w:r>
      <w:r>
        <w:rPr>
          <w:rFonts w:hint="eastAsia" w:ascii="仿宋" w:hAnsi="仿宋" w:eastAsia="仿宋" w:cs="仿宋"/>
          <w:sz w:val="32"/>
          <w:szCs w:val="32"/>
        </w:rPr>
        <w:t>进一步健全完善学习培训制度，不断提高履职能力；坚持以学习提素质、以调研强能力、以服务树形象、以创新显业绩、不断提高工作水平；加大政协机关内部管理制度的执行力，增强机关干部的大局意识、服务意识、责任意识，在工作中认真负责、积极作为，为政协组织有效履行职责、扎实开展工作提供有力保障。</w:t>
      </w:r>
    </w:p>
    <w:p w14:paraId="7D55E9EE">
      <w:pPr>
        <w:spacing w:line="520" w:lineRule="exact"/>
        <w:ind w:firstLine="560"/>
        <w:rPr>
          <w:rFonts w:ascii="仿宋" w:hAnsi="仿宋" w:eastAsia="仿宋"/>
          <w:kern w:val="0"/>
          <w:sz w:val="32"/>
          <w:szCs w:val="32"/>
        </w:rPr>
      </w:pPr>
      <w:r>
        <w:rPr>
          <w:rFonts w:hint="eastAsia" w:ascii="黑体" w:hAnsi="黑体" w:eastAsia="黑体"/>
          <w:kern w:val="0"/>
          <w:sz w:val="32"/>
          <w:szCs w:val="32"/>
        </w:rPr>
        <w:t xml:space="preserve"> </w:t>
      </w:r>
    </w:p>
    <w:p w14:paraId="35480B70">
      <w:pPr>
        <w:spacing w:line="520" w:lineRule="exact"/>
        <w:ind w:firstLine="560"/>
        <w:rPr>
          <w:rFonts w:ascii="仿宋" w:hAnsi="仿宋" w:eastAsia="仿宋"/>
          <w:kern w:val="0"/>
          <w:sz w:val="32"/>
          <w:szCs w:val="32"/>
        </w:rPr>
      </w:pPr>
    </w:p>
    <w:p w14:paraId="73EB4982">
      <w:pPr>
        <w:jc w:val="left"/>
        <w:rPr>
          <w:rFonts w:ascii="方正楷体_GBK" w:eastAsia="方正楷体_GBK"/>
          <w:b/>
          <w:sz w:val="28"/>
        </w:rPr>
        <w:sectPr>
          <w:pgSz w:w="11907" w:h="16839"/>
          <w:pgMar w:top="1531" w:right="1134" w:bottom="1474" w:left="1134" w:header="851" w:footer="992" w:gutter="0"/>
          <w:cols w:space="425" w:num="1"/>
          <w:docGrid w:linePitch="312" w:charSpace="0"/>
        </w:sectPr>
      </w:pPr>
    </w:p>
    <w:p w14:paraId="6E6B672C">
      <w:pPr>
        <w:jc w:val="center"/>
        <w:outlineLvl w:val="0"/>
        <w:rPr>
          <w:rFonts w:ascii="黑体" w:hAnsi="黑体" w:eastAsia="黑体"/>
          <w:sz w:val="32"/>
        </w:rPr>
      </w:pPr>
      <w:bookmarkStart w:id="0" w:name="_Toc508101200"/>
      <w:r>
        <w:rPr>
          <w:rFonts w:hint="eastAsia" w:ascii="黑体" w:hAnsi="黑体" w:eastAsia="黑体"/>
          <w:sz w:val="32"/>
        </w:rPr>
        <w:t>二、部门职责-工作活动绩效目标</w:t>
      </w:r>
      <w:bookmarkEnd w:id="0"/>
    </w:p>
    <w:tbl>
      <w:tblPr>
        <w:tblStyle w:val="4"/>
        <w:tblW w:w="139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14:paraId="19025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shd w:val="clear" w:color="auto" w:fill="auto"/>
            <w:vAlign w:val="center"/>
          </w:tcPr>
          <w:p w14:paraId="3EDC4878">
            <w:pPr>
              <w:spacing w:line="300" w:lineRule="exact"/>
              <w:jc w:val="left"/>
              <w:rPr>
                <w:rFonts w:ascii="方正小标宋_GBK" w:eastAsia="方正小标宋_GBK"/>
                <w:sz w:val="24"/>
              </w:rPr>
            </w:pPr>
            <w:r>
              <w:rPr>
                <w:rFonts w:ascii="方正小标宋_GBK" w:eastAsia="方正小标宋_GBK"/>
                <w:sz w:val="24"/>
              </w:rPr>
              <w:t>131</w:t>
            </w:r>
            <w:r>
              <w:rPr>
                <w:rFonts w:hint="eastAsia" w:ascii="方正小标宋_GBK" w:eastAsia="方正小标宋_GBK"/>
                <w:sz w:val="24"/>
              </w:rPr>
              <w:t>阜平县政协</w:t>
            </w:r>
          </w:p>
        </w:tc>
        <w:tc>
          <w:tcPr>
            <w:tcW w:w="2948" w:type="dxa"/>
            <w:gridSpan w:val="4"/>
            <w:tcBorders>
              <w:top w:val="single" w:color="FFFFFF" w:sz="6" w:space="0"/>
              <w:left w:val="single" w:color="FFFFFF" w:sz="6" w:space="0"/>
              <w:right w:val="single" w:color="FFFFFF" w:sz="6" w:space="0"/>
            </w:tcBorders>
            <w:shd w:val="clear" w:color="auto" w:fill="auto"/>
            <w:vAlign w:val="center"/>
          </w:tcPr>
          <w:p w14:paraId="59BF2962">
            <w:pPr>
              <w:spacing w:line="300" w:lineRule="exact"/>
              <w:jc w:val="right"/>
              <w:rPr>
                <w:rFonts w:ascii="方正书宋_GBK" w:eastAsia="方正书宋_GBK"/>
                <w:sz w:val="24"/>
              </w:rPr>
            </w:pPr>
            <w:r>
              <w:rPr>
                <w:rFonts w:hint="eastAsia" w:ascii="方正书宋_GBK" w:eastAsia="方正书宋_GBK"/>
                <w:sz w:val="24"/>
              </w:rPr>
              <w:t>单位：万元</w:t>
            </w:r>
          </w:p>
        </w:tc>
      </w:tr>
      <w:tr w14:paraId="426B4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shd w:val="clear" w:color="auto" w:fill="auto"/>
            <w:vAlign w:val="center"/>
          </w:tcPr>
          <w:p w14:paraId="044B6C9D">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shd w:val="clear" w:color="auto" w:fill="auto"/>
            <w:vAlign w:val="center"/>
          </w:tcPr>
          <w:p w14:paraId="4D94E2A6">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shd w:val="clear" w:color="auto" w:fill="auto"/>
            <w:vAlign w:val="center"/>
          </w:tcPr>
          <w:p w14:paraId="525DA6DA">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shd w:val="clear" w:color="auto" w:fill="auto"/>
            <w:vAlign w:val="center"/>
          </w:tcPr>
          <w:p w14:paraId="18B047E2">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shd w:val="clear" w:color="auto" w:fill="auto"/>
            <w:vAlign w:val="center"/>
          </w:tcPr>
          <w:p w14:paraId="074BBD36">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shd w:val="clear" w:color="auto" w:fill="auto"/>
            <w:vAlign w:val="center"/>
          </w:tcPr>
          <w:p w14:paraId="7974C7FD">
            <w:pPr>
              <w:spacing w:line="300" w:lineRule="exact"/>
              <w:jc w:val="center"/>
              <w:rPr>
                <w:rFonts w:ascii="方正书宋_GBK" w:eastAsia="方正书宋_GBK"/>
                <w:b/>
              </w:rPr>
            </w:pPr>
            <w:r>
              <w:rPr>
                <w:rFonts w:hint="eastAsia" w:ascii="方正书宋_GBK" w:eastAsia="方正书宋_GBK"/>
                <w:b/>
              </w:rPr>
              <w:t>评价标准</w:t>
            </w:r>
          </w:p>
        </w:tc>
      </w:tr>
      <w:tr w14:paraId="11B44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shd w:val="clear" w:color="auto" w:fill="auto"/>
            <w:vAlign w:val="center"/>
          </w:tcPr>
          <w:p w14:paraId="4B25D2F4">
            <w:pPr>
              <w:spacing w:line="300" w:lineRule="exact"/>
              <w:jc w:val="left"/>
              <w:outlineLvl w:val="0"/>
            </w:pPr>
          </w:p>
        </w:tc>
        <w:tc>
          <w:tcPr>
            <w:tcW w:w="1276" w:type="dxa"/>
            <w:vMerge w:val="continue"/>
            <w:shd w:val="clear" w:color="auto" w:fill="auto"/>
            <w:vAlign w:val="center"/>
          </w:tcPr>
          <w:p w14:paraId="06231992">
            <w:pPr>
              <w:spacing w:line="300" w:lineRule="exact"/>
              <w:jc w:val="left"/>
              <w:outlineLvl w:val="0"/>
            </w:pPr>
          </w:p>
        </w:tc>
        <w:tc>
          <w:tcPr>
            <w:tcW w:w="2976" w:type="dxa"/>
            <w:vMerge w:val="continue"/>
            <w:shd w:val="clear" w:color="auto" w:fill="auto"/>
            <w:vAlign w:val="center"/>
          </w:tcPr>
          <w:p w14:paraId="55BB967C">
            <w:pPr>
              <w:spacing w:line="300" w:lineRule="exact"/>
              <w:jc w:val="left"/>
              <w:outlineLvl w:val="0"/>
            </w:pPr>
          </w:p>
        </w:tc>
        <w:tc>
          <w:tcPr>
            <w:tcW w:w="2976" w:type="dxa"/>
            <w:vMerge w:val="continue"/>
            <w:shd w:val="clear" w:color="auto" w:fill="auto"/>
            <w:vAlign w:val="center"/>
          </w:tcPr>
          <w:p w14:paraId="580313EB">
            <w:pPr>
              <w:spacing w:line="300" w:lineRule="exact"/>
              <w:jc w:val="left"/>
              <w:outlineLvl w:val="0"/>
            </w:pPr>
          </w:p>
        </w:tc>
        <w:tc>
          <w:tcPr>
            <w:tcW w:w="1417" w:type="dxa"/>
            <w:vMerge w:val="continue"/>
            <w:shd w:val="clear" w:color="auto" w:fill="auto"/>
            <w:vAlign w:val="center"/>
          </w:tcPr>
          <w:p w14:paraId="2E705609">
            <w:pPr>
              <w:spacing w:line="300" w:lineRule="exact"/>
              <w:jc w:val="left"/>
              <w:outlineLvl w:val="0"/>
            </w:pPr>
          </w:p>
        </w:tc>
        <w:tc>
          <w:tcPr>
            <w:tcW w:w="737" w:type="dxa"/>
            <w:shd w:val="clear" w:color="auto" w:fill="auto"/>
            <w:vAlign w:val="center"/>
          </w:tcPr>
          <w:p w14:paraId="13473D2F">
            <w:pPr>
              <w:spacing w:line="300" w:lineRule="exact"/>
              <w:jc w:val="center"/>
              <w:rPr>
                <w:rFonts w:ascii="方正书宋_GBK" w:eastAsia="方正书宋_GBK"/>
                <w:b/>
              </w:rPr>
            </w:pPr>
            <w:r>
              <w:rPr>
                <w:rFonts w:hint="eastAsia" w:ascii="方正书宋_GBK" w:eastAsia="方正书宋_GBK"/>
                <w:b/>
              </w:rPr>
              <w:t>优</w:t>
            </w:r>
          </w:p>
        </w:tc>
        <w:tc>
          <w:tcPr>
            <w:tcW w:w="737" w:type="dxa"/>
            <w:shd w:val="clear" w:color="auto" w:fill="auto"/>
            <w:vAlign w:val="center"/>
          </w:tcPr>
          <w:p w14:paraId="6714BE08">
            <w:pPr>
              <w:spacing w:line="300" w:lineRule="exact"/>
              <w:jc w:val="center"/>
              <w:rPr>
                <w:rFonts w:ascii="方正书宋_GBK" w:eastAsia="方正书宋_GBK"/>
                <w:b/>
              </w:rPr>
            </w:pPr>
            <w:r>
              <w:rPr>
                <w:rFonts w:hint="eastAsia" w:ascii="方正书宋_GBK" w:eastAsia="方正书宋_GBK"/>
                <w:b/>
              </w:rPr>
              <w:t>良</w:t>
            </w:r>
          </w:p>
        </w:tc>
        <w:tc>
          <w:tcPr>
            <w:tcW w:w="737" w:type="dxa"/>
            <w:shd w:val="clear" w:color="auto" w:fill="auto"/>
            <w:vAlign w:val="center"/>
          </w:tcPr>
          <w:p w14:paraId="7F1223D7">
            <w:pPr>
              <w:spacing w:line="300" w:lineRule="exact"/>
              <w:jc w:val="center"/>
              <w:rPr>
                <w:rFonts w:ascii="方正书宋_GBK" w:eastAsia="方正书宋_GBK"/>
                <w:b/>
              </w:rPr>
            </w:pPr>
            <w:r>
              <w:rPr>
                <w:rFonts w:hint="eastAsia" w:ascii="方正书宋_GBK" w:eastAsia="方正书宋_GBK"/>
                <w:b/>
              </w:rPr>
              <w:t>中</w:t>
            </w:r>
          </w:p>
        </w:tc>
        <w:tc>
          <w:tcPr>
            <w:tcW w:w="737" w:type="dxa"/>
            <w:shd w:val="clear" w:color="auto" w:fill="auto"/>
            <w:vAlign w:val="center"/>
          </w:tcPr>
          <w:p w14:paraId="507761FC">
            <w:pPr>
              <w:spacing w:line="300" w:lineRule="exact"/>
              <w:jc w:val="center"/>
              <w:rPr>
                <w:rFonts w:ascii="方正书宋_GBK" w:eastAsia="方正书宋_GBK"/>
                <w:b/>
              </w:rPr>
            </w:pPr>
            <w:r>
              <w:rPr>
                <w:rFonts w:hint="eastAsia" w:ascii="方正书宋_GBK" w:eastAsia="方正书宋_GBK"/>
                <w:b/>
              </w:rPr>
              <w:t>差</w:t>
            </w:r>
          </w:p>
        </w:tc>
      </w:tr>
      <w:tr w14:paraId="00E19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181DEEBD">
            <w:pPr>
              <w:spacing w:line="300" w:lineRule="exact"/>
              <w:jc w:val="left"/>
              <w:rPr>
                <w:rFonts w:ascii="方正书宋_GBK" w:eastAsia="方正书宋_GBK"/>
                <w:b/>
              </w:rPr>
            </w:pPr>
            <w:r>
              <w:rPr>
                <w:rFonts w:hint="eastAsia" w:ascii="方正书宋_GBK" w:eastAsia="方正书宋_GBK"/>
                <w:b/>
              </w:rPr>
              <w:t>一、政治协商</w:t>
            </w:r>
          </w:p>
        </w:tc>
        <w:tc>
          <w:tcPr>
            <w:tcW w:w="1276" w:type="dxa"/>
            <w:shd w:val="clear" w:color="auto" w:fill="auto"/>
            <w:vAlign w:val="center"/>
          </w:tcPr>
          <w:p w14:paraId="0F66636D">
            <w:pPr>
              <w:spacing w:line="300" w:lineRule="exact"/>
              <w:jc w:val="left"/>
              <w:rPr>
                <w:rFonts w:ascii="方正书宋_GBK" w:eastAsia="方正书宋_GBK"/>
              </w:rPr>
            </w:pPr>
            <w:r>
              <w:rPr>
                <w:rFonts w:ascii="方正书宋_GBK" w:eastAsia="方正书宋_GBK"/>
              </w:rPr>
              <w:t>2</w:t>
            </w:r>
            <w:r>
              <w:rPr>
                <w:rFonts w:hint="eastAsia" w:ascii="方正书宋_GBK" w:eastAsiaTheme="minorEastAsia"/>
              </w:rPr>
              <w:t>5</w:t>
            </w:r>
            <w:r>
              <w:rPr>
                <w:rFonts w:ascii="方正书宋_GBK" w:eastAsia="方正书宋_GBK"/>
              </w:rPr>
              <w:t>.00</w:t>
            </w:r>
          </w:p>
        </w:tc>
        <w:tc>
          <w:tcPr>
            <w:tcW w:w="2976" w:type="dxa"/>
            <w:shd w:val="clear" w:color="auto" w:fill="auto"/>
            <w:vAlign w:val="center"/>
          </w:tcPr>
          <w:p w14:paraId="0ED2FE74">
            <w:pPr>
              <w:spacing w:line="300" w:lineRule="exact"/>
              <w:jc w:val="left"/>
              <w:rPr>
                <w:rFonts w:ascii="方正书宋_GBK" w:eastAsia="方正书宋_GBK"/>
              </w:rPr>
            </w:pPr>
            <w:r>
              <w:rPr>
                <w:rFonts w:hint="eastAsia" w:ascii="方正书宋_GBK" w:eastAsia="方正书宋_GBK"/>
              </w:rPr>
              <w:t>就大政方针以及政治、经济、文化、社会和生态文明中的重要问题在决策之前进行协商和就决策执行过程中的重要问题进行协商。</w:t>
            </w:r>
          </w:p>
        </w:tc>
        <w:tc>
          <w:tcPr>
            <w:tcW w:w="2976" w:type="dxa"/>
            <w:shd w:val="clear" w:color="auto" w:fill="auto"/>
            <w:vAlign w:val="center"/>
          </w:tcPr>
          <w:p w14:paraId="38B73608">
            <w:pPr>
              <w:spacing w:line="300" w:lineRule="exact"/>
              <w:jc w:val="left"/>
              <w:rPr>
                <w:rFonts w:ascii="方正书宋_GBK" w:eastAsia="方正书宋_GBK"/>
              </w:rPr>
            </w:pPr>
            <w:r>
              <w:rPr>
                <w:rFonts w:hint="eastAsia" w:ascii="方正书宋_GBK" w:eastAsia="方正书宋_GBK"/>
              </w:rPr>
              <w:t>完善各项会议制度，规范会议程序，提高会议质量，提高政治协商水平。</w:t>
            </w:r>
          </w:p>
        </w:tc>
        <w:tc>
          <w:tcPr>
            <w:tcW w:w="1417" w:type="dxa"/>
            <w:shd w:val="clear" w:color="auto" w:fill="auto"/>
            <w:vAlign w:val="center"/>
          </w:tcPr>
          <w:p w14:paraId="17BEF375">
            <w:pPr>
              <w:spacing w:line="300" w:lineRule="exact"/>
              <w:jc w:val="left"/>
              <w:rPr>
                <w:rFonts w:ascii="方正书宋_GBK" w:eastAsia="方正书宋_GBK"/>
              </w:rPr>
            </w:pPr>
          </w:p>
        </w:tc>
        <w:tc>
          <w:tcPr>
            <w:tcW w:w="737" w:type="dxa"/>
            <w:shd w:val="clear" w:color="auto" w:fill="auto"/>
            <w:vAlign w:val="center"/>
          </w:tcPr>
          <w:p w14:paraId="4A7A8D4D">
            <w:pPr>
              <w:spacing w:line="300" w:lineRule="exact"/>
              <w:jc w:val="center"/>
              <w:rPr>
                <w:rFonts w:ascii="方正书宋_GBK" w:eastAsia="方正书宋_GBK"/>
              </w:rPr>
            </w:pPr>
          </w:p>
        </w:tc>
        <w:tc>
          <w:tcPr>
            <w:tcW w:w="737" w:type="dxa"/>
            <w:shd w:val="clear" w:color="auto" w:fill="auto"/>
            <w:vAlign w:val="center"/>
          </w:tcPr>
          <w:p w14:paraId="255877AC">
            <w:pPr>
              <w:spacing w:line="300" w:lineRule="exact"/>
              <w:jc w:val="center"/>
              <w:rPr>
                <w:rFonts w:ascii="方正书宋_GBK" w:eastAsia="方正书宋_GBK"/>
              </w:rPr>
            </w:pPr>
          </w:p>
        </w:tc>
        <w:tc>
          <w:tcPr>
            <w:tcW w:w="737" w:type="dxa"/>
            <w:shd w:val="clear" w:color="auto" w:fill="auto"/>
            <w:vAlign w:val="center"/>
          </w:tcPr>
          <w:p w14:paraId="7BBC003D">
            <w:pPr>
              <w:spacing w:line="300" w:lineRule="exact"/>
              <w:jc w:val="center"/>
              <w:rPr>
                <w:rFonts w:ascii="方正书宋_GBK" w:eastAsia="方正书宋_GBK"/>
              </w:rPr>
            </w:pPr>
          </w:p>
        </w:tc>
        <w:tc>
          <w:tcPr>
            <w:tcW w:w="737" w:type="dxa"/>
            <w:shd w:val="clear" w:color="auto" w:fill="auto"/>
            <w:vAlign w:val="center"/>
          </w:tcPr>
          <w:p w14:paraId="22DA00AA">
            <w:pPr>
              <w:spacing w:line="300" w:lineRule="exact"/>
              <w:jc w:val="center"/>
              <w:rPr>
                <w:rFonts w:ascii="方正书宋_GBK" w:eastAsia="方正书宋_GBK"/>
              </w:rPr>
            </w:pPr>
          </w:p>
        </w:tc>
      </w:tr>
      <w:tr w14:paraId="6A7E4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5A54B082">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、政协会议</w:t>
            </w:r>
          </w:p>
        </w:tc>
        <w:tc>
          <w:tcPr>
            <w:tcW w:w="1276" w:type="dxa"/>
            <w:vMerge w:val="restart"/>
            <w:shd w:val="clear" w:color="auto" w:fill="auto"/>
            <w:vAlign w:val="center"/>
          </w:tcPr>
          <w:p w14:paraId="4BB06E3E">
            <w:pPr>
              <w:spacing w:line="300" w:lineRule="exact"/>
              <w:jc w:val="left"/>
              <w:rPr>
                <w:rFonts w:ascii="方正书宋_GBK" w:eastAsia="方正书宋_GBK"/>
              </w:rPr>
            </w:pPr>
            <w:r>
              <w:rPr>
                <w:rFonts w:ascii="方正书宋_GBK" w:eastAsia="方正书宋_GBK"/>
              </w:rPr>
              <w:t>2</w:t>
            </w:r>
            <w:r>
              <w:rPr>
                <w:rFonts w:hint="eastAsia" w:ascii="方正书宋_GBK" w:eastAsiaTheme="minorEastAsia"/>
              </w:rPr>
              <w:t>5</w:t>
            </w:r>
            <w:r>
              <w:rPr>
                <w:rFonts w:ascii="方正书宋_GBK" w:eastAsia="方正书宋_GBK"/>
              </w:rPr>
              <w:t>.00</w:t>
            </w:r>
          </w:p>
        </w:tc>
        <w:tc>
          <w:tcPr>
            <w:tcW w:w="2976" w:type="dxa"/>
            <w:vMerge w:val="restart"/>
            <w:shd w:val="clear" w:color="auto" w:fill="auto"/>
            <w:vAlign w:val="center"/>
          </w:tcPr>
          <w:p w14:paraId="41A572A6">
            <w:pPr>
              <w:spacing w:line="300" w:lineRule="exact"/>
              <w:jc w:val="left"/>
              <w:rPr>
                <w:rFonts w:ascii="方正书宋_GBK" w:eastAsia="方正书宋_GBK"/>
              </w:rPr>
            </w:pPr>
            <w:r>
              <w:rPr>
                <w:rFonts w:hint="eastAsia" w:ascii="方正书宋_GBK" w:eastAsia="方正书宋_GBK"/>
              </w:rPr>
              <w:t>会议是人民政协履行职能的主要形式，是开展工作的主体，是委员履行自身职责的主要途径。包括全体会议、常委会议、主席会议、秘书长会议、各专委会会议等。</w:t>
            </w:r>
          </w:p>
        </w:tc>
        <w:tc>
          <w:tcPr>
            <w:tcW w:w="2976" w:type="dxa"/>
            <w:vMerge w:val="restart"/>
            <w:shd w:val="clear" w:color="auto" w:fill="auto"/>
            <w:vAlign w:val="center"/>
          </w:tcPr>
          <w:p w14:paraId="6FA7F665">
            <w:pPr>
              <w:spacing w:line="300" w:lineRule="exact"/>
              <w:jc w:val="left"/>
              <w:rPr>
                <w:rFonts w:ascii="方正书宋_GBK" w:eastAsia="方正书宋_GBK"/>
              </w:rPr>
            </w:pPr>
            <w:r>
              <w:rPr>
                <w:rFonts w:hint="eastAsia" w:ascii="方正书宋_GBK" w:eastAsia="方正书宋_GBK"/>
              </w:rPr>
              <w:t>完善各项会议制度，规范会议程序，提高会议质量，提高政治协商水平。</w:t>
            </w:r>
          </w:p>
        </w:tc>
        <w:tc>
          <w:tcPr>
            <w:tcW w:w="1417" w:type="dxa"/>
            <w:shd w:val="clear" w:color="auto" w:fill="auto"/>
            <w:vAlign w:val="center"/>
          </w:tcPr>
          <w:p w14:paraId="399AC02E">
            <w:pPr>
              <w:spacing w:line="300" w:lineRule="exact"/>
              <w:jc w:val="left"/>
              <w:rPr>
                <w:rFonts w:ascii="方正书宋_GBK" w:eastAsia="方正书宋_GBK"/>
              </w:rPr>
            </w:pPr>
            <w:r>
              <w:rPr>
                <w:rFonts w:hint="eastAsia" w:ascii="方正书宋_GBK" w:eastAsia="方正书宋_GBK"/>
              </w:rPr>
              <w:t>会议筹备及会务工作的完成率</w:t>
            </w:r>
          </w:p>
        </w:tc>
        <w:tc>
          <w:tcPr>
            <w:tcW w:w="737" w:type="dxa"/>
            <w:shd w:val="clear" w:color="auto" w:fill="auto"/>
            <w:vAlign w:val="center"/>
          </w:tcPr>
          <w:p w14:paraId="59334498">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50F96355">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629FDD59">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2887B762">
            <w:pPr>
              <w:spacing w:line="300" w:lineRule="exact"/>
              <w:jc w:val="center"/>
              <w:rPr>
                <w:rFonts w:ascii="方正书宋_GBK" w:eastAsia="方正书宋_GBK"/>
              </w:rPr>
            </w:pPr>
            <w:r>
              <w:rPr>
                <w:rFonts w:ascii="方正书宋_GBK" w:eastAsia="方正书宋_GBK"/>
              </w:rPr>
              <w:t>&lt;90%</w:t>
            </w:r>
          </w:p>
        </w:tc>
      </w:tr>
      <w:tr w14:paraId="112B2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5014A088">
            <w:pPr>
              <w:spacing w:line="300" w:lineRule="exact"/>
              <w:jc w:val="left"/>
              <w:rPr>
                <w:rFonts w:ascii="方正书宋_GBK" w:eastAsia="方正书宋_GBK"/>
                <w:b/>
              </w:rPr>
            </w:pPr>
          </w:p>
        </w:tc>
        <w:tc>
          <w:tcPr>
            <w:tcW w:w="1276" w:type="dxa"/>
            <w:vMerge w:val="continue"/>
            <w:shd w:val="clear" w:color="auto" w:fill="auto"/>
            <w:vAlign w:val="center"/>
          </w:tcPr>
          <w:p w14:paraId="5E138749">
            <w:pPr>
              <w:spacing w:line="300" w:lineRule="exact"/>
              <w:jc w:val="left"/>
              <w:rPr>
                <w:rFonts w:ascii="方正书宋_GBK" w:eastAsia="方正书宋_GBK"/>
              </w:rPr>
            </w:pPr>
          </w:p>
        </w:tc>
        <w:tc>
          <w:tcPr>
            <w:tcW w:w="2976" w:type="dxa"/>
            <w:vMerge w:val="continue"/>
            <w:shd w:val="clear" w:color="auto" w:fill="auto"/>
            <w:vAlign w:val="center"/>
          </w:tcPr>
          <w:p w14:paraId="73C52FF6">
            <w:pPr>
              <w:spacing w:line="300" w:lineRule="exact"/>
              <w:jc w:val="left"/>
              <w:rPr>
                <w:rFonts w:ascii="方正书宋_GBK" w:eastAsia="方正书宋_GBK"/>
              </w:rPr>
            </w:pPr>
          </w:p>
        </w:tc>
        <w:tc>
          <w:tcPr>
            <w:tcW w:w="2976" w:type="dxa"/>
            <w:vMerge w:val="continue"/>
            <w:shd w:val="clear" w:color="auto" w:fill="auto"/>
            <w:vAlign w:val="center"/>
          </w:tcPr>
          <w:p w14:paraId="125CFD32">
            <w:pPr>
              <w:spacing w:line="300" w:lineRule="exact"/>
              <w:jc w:val="left"/>
              <w:rPr>
                <w:rFonts w:ascii="方正书宋_GBK" w:eastAsia="方正书宋_GBK"/>
              </w:rPr>
            </w:pPr>
          </w:p>
        </w:tc>
        <w:tc>
          <w:tcPr>
            <w:tcW w:w="1417" w:type="dxa"/>
            <w:shd w:val="clear" w:color="auto" w:fill="auto"/>
            <w:vAlign w:val="center"/>
          </w:tcPr>
          <w:p w14:paraId="3713EEDA">
            <w:pPr>
              <w:spacing w:line="300" w:lineRule="exact"/>
              <w:jc w:val="left"/>
              <w:rPr>
                <w:rFonts w:ascii="方正书宋_GBK" w:eastAsia="方正书宋_GBK"/>
              </w:rPr>
            </w:pPr>
            <w:r>
              <w:rPr>
                <w:rFonts w:hint="eastAsia" w:ascii="方正书宋_GBK" w:eastAsia="方正书宋_GBK"/>
              </w:rPr>
              <w:t>政治任务实现率</w:t>
            </w:r>
          </w:p>
        </w:tc>
        <w:tc>
          <w:tcPr>
            <w:tcW w:w="737" w:type="dxa"/>
            <w:shd w:val="clear" w:color="auto" w:fill="auto"/>
            <w:vAlign w:val="center"/>
          </w:tcPr>
          <w:p w14:paraId="7A66D566">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350756FC">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23075E25">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13ACA364">
            <w:pPr>
              <w:spacing w:line="300" w:lineRule="exact"/>
              <w:jc w:val="center"/>
              <w:rPr>
                <w:rFonts w:ascii="方正书宋_GBK" w:eastAsia="方正书宋_GBK"/>
              </w:rPr>
            </w:pPr>
            <w:r>
              <w:rPr>
                <w:rFonts w:ascii="方正书宋_GBK" w:eastAsia="方正书宋_GBK"/>
              </w:rPr>
              <w:t>&lt;90%</w:t>
            </w:r>
          </w:p>
        </w:tc>
      </w:tr>
      <w:tr w14:paraId="44D01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45EAC30A">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、民主协商</w:t>
            </w:r>
          </w:p>
        </w:tc>
        <w:tc>
          <w:tcPr>
            <w:tcW w:w="1276" w:type="dxa"/>
            <w:shd w:val="clear" w:color="auto" w:fill="auto"/>
            <w:vAlign w:val="center"/>
          </w:tcPr>
          <w:p w14:paraId="05DDFA0D">
            <w:pPr>
              <w:spacing w:line="300" w:lineRule="exact"/>
              <w:jc w:val="left"/>
              <w:rPr>
                <w:rFonts w:ascii="方正书宋_GBK" w:eastAsia="方正书宋_GBK"/>
              </w:rPr>
            </w:pPr>
          </w:p>
        </w:tc>
        <w:tc>
          <w:tcPr>
            <w:tcW w:w="2976" w:type="dxa"/>
            <w:shd w:val="clear" w:color="auto" w:fill="auto"/>
            <w:vAlign w:val="center"/>
          </w:tcPr>
          <w:p w14:paraId="02BCB4E2">
            <w:pPr>
              <w:spacing w:line="300" w:lineRule="exact"/>
              <w:jc w:val="left"/>
              <w:rPr>
                <w:rFonts w:ascii="方正书宋_GBK" w:eastAsia="方正书宋_GBK"/>
              </w:rPr>
            </w:pPr>
            <w:r>
              <w:rPr>
                <w:rFonts w:hint="eastAsia" w:ascii="方正书宋_GBK" w:eastAsia="方正书宋_GBK"/>
              </w:rPr>
              <w:t>根据形势、任务和党委政府统一部署，安排协商活动，召开专题协商会、协商民主会、专题座谈会、情况通报会、意见听取会、工作研讨会和学习座谈会等。</w:t>
            </w:r>
          </w:p>
        </w:tc>
        <w:tc>
          <w:tcPr>
            <w:tcW w:w="2976" w:type="dxa"/>
            <w:shd w:val="clear" w:color="auto" w:fill="auto"/>
            <w:vAlign w:val="center"/>
          </w:tcPr>
          <w:p w14:paraId="331E4853">
            <w:pPr>
              <w:spacing w:line="300" w:lineRule="exact"/>
              <w:jc w:val="left"/>
              <w:rPr>
                <w:rFonts w:ascii="方正书宋_GBK" w:eastAsia="方正书宋_GBK"/>
              </w:rPr>
            </w:pPr>
            <w:r>
              <w:rPr>
                <w:rFonts w:hint="eastAsia" w:ascii="方正书宋_GBK" w:eastAsia="方正书宋_GBK"/>
              </w:rPr>
              <w:t>增强开展政治协商的自觉性和主动性，规范协商内容，丰富协商形式和层次，把政治协商纳入决策程序。</w:t>
            </w:r>
          </w:p>
        </w:tc>
        <w:tc>
          <w:tcPr>
            <w:tcW w:w="1417" w:type="dxa"/>
            <w:shd w:val="clear" w:color="auto" w:fill="auto"/>
            <w:vAlign w:val="center"/>
          </w:tcPr>
          <w:p w14:paraId="3261CBD7">
            <w:pPr>
              <w:spacing w:line="300" w:lineRule="exact"/>
              <w:jc w:val="left"/>
              <w:rPr>
                <w:rFonts w:ascii="方正书宋_GBK" w:eastAsia="方正书宋_GBK"/>
              </w:rPr>
            </w:pPr>
            <w:r>
              <w:rPr>
                <w:rFonts w:hint="eastAsia" w:ascii="方正书宋_GBK" w:eastAsia="方正书宋_GBK"/>
              </w:rPr>
              <w:t>专题协商活动完成率</w:t>
            </w:r>
          </w:p>
        </w:tc>
        <w:tc>
          <w:tcPr>
            <w:tcW w:w="737" w:type="dxa"/>
            <w:shd w:val="clear" w:color="auto" w:fill="auto"/>
            <w:vAlign w:val="center"/>
          </w:tcPr>
          <w:p w14:paraId="3FF3C8BE">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4FA7A20D">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37AB98D6">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3FE20301">
            <w:pPr>
              <w:spacing w:line="300" w:lineRule="exact"/>
              <w:jc w:val="center"/>
              <w:rPr>
                <w:rFonts w:ascii="方正书宋_GBK" w:eastAsia="方正书宋_GBK"/>
              </w:rPr>
            </w:pPr>
            <w:r>
              <w:rPr>
                <w:rFonts w:ascii="方正书宋_GBK" w:eastAsia="方正书宋_GBK"/>
              </w:rPr>
              <w:t>&lt;90%</w:t>
            </w:r>
          </w:p>
        </w:tc>
      </w:tr>
      <w:tr w14:paraId="6E204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329B7C98">
            <w:pPr>
              <w:spacing w:line="300" w:lineRule="exact"/>
              <w:jc w:val="left"/>
              <w:rPr>
                <w:rFonts w:ascii="方正书宋_GBK" w:eastAsia="方正书宋_GBK"/>
                <w:b/>
              </w:rPr>
            </w:pPr>
            <w:r>
              <w:rPr>
                <w:rFonts w:hint="eastAsia" w:ascii="方正书宋_GBK" w:eastAsia="方正书宋_GBK"/>
                <w:b/>
              </w:rPr>
              <w:t>二、民主监督</w:t>
            </w:r>
          </w:p>
        </w:tc>
        <w:tc>
          <w:tcPr>
            <w:tcW w:w="1276" w:type="dxa"/>
            <w:shd w:val="clear" w:color="auto" w:fill="auto"/>
            <w:vAlign w:val="center"/>
          </w:tcPr>
          <w:p w14:paraId="46A8CA8B">
            <w:pPr>
              <w:spacing w:line="300" w:lineRule="exact"/>
              <w:jc w:val="left"/>
              <w:rPr>
                <w:rFonts w:ascii="方正书宋_GBK" w:eastAsia="方正书宋_GBK"/>
              </w:rPr>
            </w:pPr>
          </w:p>
        </w:tc>
        <w:tc>
          <w:tcPr>
            <w:tcW w:w="2976" w:type="dxa"/>
            <w:shd w:val="clear" w:color="auto" w:fill="auto"/>
            <w:vAlign w:val="center"/>
          </w:tcPr>
          <w:p w14:paraId="6B5B8A58">
            <w:pPr>
              <w:spacing w:line="300" w:lineRule="exact"/>
              <w:jc w:val="left"/>
              <w:rPr>
                <w:rFonts w:ascii="方正书宋_GBK" w:eastAsia="方正书宋_GBK"/>
              </w:rPr>
            </w:pPr>
            <w:r>
              <w:rPr>
                <w:rFonts w:hint="eastAsia" w:ascii="方正书宋_GBK" w:eastAsia="方正书宋_GBK"/>
              </w:rPr>
              <w:t>有效履行民主监督职责，发挥好协调关系、汇聚力量、建言献策、服务大局的作用。通过意见、建议、批评的方式对国家法律法规的实施、重大方针政策的贯彻执行、党和政府的工作进行政治监督。</w:t>
            </w:r>
          </w:p>
        </w:tc>
        <w:tc>
          <w:tcPr>
            <w:tcW w:w="2976" w:type="dxa"/>
            <w:shd w:val="clear" w:color="auto" w:fill="auto"/>
            <w:vAlign w:val="center"/>
          </w:tcPr>
          <w:p w14:paraId="1D3EB48F">
            <w:pPr>
              <w:spacing w:line="300" w:lineRule="exact"/>
              <w:jc w:val="left"/>
              <w:rPr>
                <w:rFonts w:ascii="方正书宋_GBK" w:eastAsia="方正书宋_GBK"/>
              </w:rPr>
            </w:pPr>
            <w:r>
              <w:rPr>
                <w:rFonts w:hint="eastAsia" w:ascii="方正书宋_GBK" w:eastAsia="方正书宋_GBK"/>
              </w:rPr>
              <w:t>完善民主监督机制，畅通民主监督渠道，建立健全知情、沟通制度，将民主监督寓于委员提案、进行视察、参与工作检查等活动中，提高民主监督质量和成效。</w:t>
            </w:r>
          </w:p>
        </w:tc>
        <w:tc>
          <w:tcPr>
            <w:tcW w:w="1417" w:type="dxa"/>
            <w:shd w:val="clear" w:color="auto" w:fill="auto"/>
            <w:vAlign w:val="center"/>
          </w:tcPr>
          <w:p w14:paraId="6E9FE42D">
            <w:pPr>
              <w:spacing w:line="300" w:lineRule="exact"/>
              <w:jc w:val="left"/>
              <w:rPr>
                <w:rFonts w:ascii="方正书宋_GBK" w:eastAsia="方正书宋_GBK"/>
              </w:rPr>
            </w:pPr>
          </w:p>
        </w:tc>
        <w:tc>
          <w:tcPr>
            <w:tcW w:w="737" w:type="dxa"/>
            <w:shd w:val="clear" w:color="auto" w:fill="auto"/>
            <w:vAlign w:val="center"/>
          </w:tcPr>
          <w:p w14:paraId="31F3D05C">
            <w:pPr>
              <w:spacing w:line="300" w:lineRule="exact"/>
              <w:jc w:val="center"/>
              <w:rPr>
                <w:rFonts w:ascii="方正书宋_GBK" w:eastAsia="方正书宋_GBK"/>
              </w:rPr>
            </w:pPr>
          </w:p>
        </w:tc>
        <w:tc>
          <w:tcPr>
            <w:tcW w:w="737" w:type="dxa"/>
            <w:shd w:val="clear" w:color="auto" w:fill="auto"/>
            <w:vAlign w:val="center"/>
          </w:tcPr>
          <w:p w14:paraId="6397583A">
            <w:pPr>
              <w:spacing w:line="300" w:lineRule="exact"/>
              <w:jc w:val="center"/>
              <w:rPr>
                <w:rFonts w:ascii="方正书宋_GBK" w:eastAsia="方正书宋_GBK"/>
              </w:rPr>
            </w:pPr>
          </w:p>
        </w:tc>
        <w:tc>
          <w:tcPr>
            <w:tcW w:w="737" w:type="dxa"/>
            <w:shd w:val="clear" w:color="auto" w:fill="auto"/>
            <w:vAlign w:val="center"/>
          </w:tcPr>
          <w:p w14:paraId="7ECC3564">
            <w:pPr>
              <w:spacing w:line="300" w:lineRule="exact"/>
              <w:jc w:val="center"/>
              <w:rPr>
                <w:rFonts w:ascii="方正书宋_GBK" w:eastAsia="方正书宋_GBK"/>
              </w:rPr>
            </w:pPr>
          </w:p>
        </w:tc>
        <w:tc>
          <w:tcPr>
            <w:tcW w:w="737" w:type="dxa"/>
            <w:shd w:val="clear" w:color="auto" w:fill="auto"/>
            <w:vAlign w:val="center"/>
          </w:tcPr>
          <w:p w14:paraId="0F26687B">
            <w:pPr>
              <w:spacing w:line="300" w:lineRule="exact"/>
              <w:jc w:val="center"/>
              <w:rPr>
                <w:rFonts w:ascii="方正书宋_GBK" w:eastAsia="方正书宋_GBK"/>
              </w:rPr>
            </w:pPr>
          </w:p>
        </w:tc>
      </w:tr>
      <w:tr w14:paraId="7FA91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7E0A5C73">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、监督事务</w:t>
            </w:r>
          </w:p>
        </w:tc>
        <w:tc>
          <w:tcPr>
            <w:tcW w:w="1276" w:type="dxa"/>
            <w:shd w:val="clear" w:color="auto" w:fill="auto"/>
            <w:vAlign w:val="center"/>
          </w:tcPr>
          <w:p w14:paraId="6A7F4E47">
            <w:pPr>
              <w:spacing w:line="300" w:lineRule="exact"/>
              <w:jc w:val="left"/>
              <w:rPr>
                <w:rFonts w:ascii="方正书宋_GBK" w:eastAsia="方正书宋_GBK"/>
              </w:rPr>
            </w:pPr>
          </w:p>
        </w:tc>
        <w:tc>
          <w:tcPr>
            <w:tcW w:w="2976" w:type="dxa"/>
            <w:shd w:val="clear" w:color="auto" w:fill="auto"/>
            <w:vAlign w:val="center"/>
          </w:tcPr>
          <w:p w14:paraId="61532879">
            <w:pPr>
              <w:spacing w:line="300" w:lineRule="exact"/>
              <w:jc w:val="left"/>
              <w:rPr>
                <w:rFonts w:ascii="方正书宋_GBK" w:eastAsia="方正书宋_GBK"/>
              </w:rPr>
            </w:pPr>
            <w:r>
              <w:rPr>
                <w:rFonts w:hint="eastAsia" w:ascii="方正书宋_GBK" w:eastAsia="方正书宋_GBK"/>
              </w:rPr>
              <w:t>组织、鼓励和引导委员深入实际、走向基层、贴近群众开展视察考察，通过建议案、提案等形式进行监督。通过参加党委政府组织的调查和检查活动实施监督。</w:t>
            </w:r>
          </w:p>
        </w:tc>
        <w:tc>
          <w:tcPr>
            <w:tcW w:w="2976" w:type="dxa"/>
            <w:shd w:val="clear" w:color="auto" w:fill="auto"/>
            <w:vAlign w:val="center"/>
          </w:tcPr>
          <w:p w14:paraId="721F34A5">
            <w:pPr>
              <w:spacing w:line="300" w:lineRule="exact"/>
              <w:jc w:val="left"/>
              <w:rPr>
                <w:rFonts w:ascii="方正书宋_GBK" w:eastAsia="方正书宋_GBK"/>
              </w:rPr>
            </w:pPr>
            <w:r>
              <w:rPr>
                <w:rFonts w:hint="eastAsia" w:ascii="方正书宋_GBK" w:eastAsia="方正书宋_GBK"/>
              </w:rPr>
              <w:t>完善民主监督机制，畅通民主监督渠道，建立健全知情、沟通制度，加强工作协调配合，提高民主监督的质量和成效。</w:t>
            </w:r>
          </w:p>
        </w:tc>
        <w:tc>
          <w:tcPr>
            <w:tcW w:w="1417" w:type="dxa"/>
            <w:shd w:val="clear" w:color="auto" w:fill="auto"/>
            <w:vAlign w:val="center"/>
          </w:tcPr>
          <w:p w14:paraId="112E87EB">
            <w:pPr>
              <w:spacing w:line="300" w:lineRule="exact"/>
              <w:jc w:val="left"/>
              <w:rPr>
                <w:rFonts w:ascii="方正书宋_GBK" w:eastAsia="方正书宋_GBK"/>
              </w:rPr>
            </w:pPr>
            <w:r>
              <w:rPr>
                <w:rFonts w:hint="eastAsia" w:ascii="方正书宋_GBK" w:eastAsia="方正书宋_GBK"/>
              </w:rPr>
              <w:t>监督工作任务完成率</w:t>
            </w:r>
          </w:p>
        </w:tc>
        <w:tc>
          <w:tcPr>
            <w:tcW w:w="737" w:type="dxa"/>
            <w:shd w:val="clear" w:color="auto" w:fill="auto"/>
            <w:vAlign w:val="center"/>
          </w:tcPr>
          <w:p w14:paraId="3384E6A3">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p>
        </w:tc>
        <w:tc>
          <w:tcPr>
            <w:tcW w:w="737" w:type="dxa"/>
            <w:shd w:val="clear" w:color="auto" w:fill="auto"/>
            <w:vAlign w:val="center"/>
          </w:tcPr>
          <w:p w14:paraId="2BD5EEE6">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2175BF0D">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1416C5C5">
            <w:pPr>
              <w:spacing w:line="300" w:lineRule="exact"/>
              <w:jc w:val="center"/>
              <w:rPr>
                <w:rFonts w:ascii="方正书宋_GBK" w:eastAsia="方正书宋_GBK"/>
              </w:rPr>
            </w:pPr>
            <w:r>
              <w:rPr>
                <w:rFonts w:ascii="方正书宋_GBK" w:eastAsia="方正书宋_GBK"/>
              </w:rPr>
              <w:t>&lt;90%</w:t>
            </w:r>
          </w:p>
        </w:tc>
      </w:tr>
      <w:tr w14:paraId="71E70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7A33D108">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、提案工作</w:t>
            </w:r>
          </w:p>
        </w:tc>
        <w:tc>
          <w:tcPr>
            <w:tcW w:w="1276" w:type="dxa"/>
            <w:vMerge w:val="restart"/>
            <w:shd w:val="clear" w:color="auto" w:fill="auto"/>
            <w:vAlign w:val="center"/>
          </w:tcPr>
          <w:p w14:paraId="71A732B6">
            <w:pPr>
              <w:spacing w:line="300" w:lineRule="exact"/>
              <w:jc w:val="left"/>
              <w:rPr>
                <w:rFonts w:ascii="方正书宋_GBK" w:eastAsia="方正书宋_GBK"/>
              </w:rPr>
            </w:pPr>
          </w:p>
        </w:tc>
        <w:tc>
          <w:tcPr>
            <w:tcW w:w="2976" w:type="dxa"/>
            <w:vMerge w:val="restart"/>
            <w:shd w:val="clear" w:color="auto" w:fill="auto"/>
            <w:vAlign w:val="center"/>
          </w:tcPr>
          <w:p w14:paraId="3664EDC3">
            <w:pPr>
              <w:spacing w:line="300" w:lineRule="exact"/>
              <w:jc w:val="left"/>
              <w:rPr>
                <w:rFonts w:ascii="方正书宋_GBK" w:eastAsia="方正书宋_GBK"/>
              </w:rPr>
            </w:pPr>
            <w:r>
              <w:rPr>
                <w:rFonts w:hint="eastAsia" w:ascii="方正书宋_GBK" w:eastAsia="方正书宋_GBK"/>
              </w:rPr>
              <w:t>对政协委员和参加政协的各党派团体以及各专委会（提案者）的提案进行审查立案，立案后交承办单位办理，适时通过协调、沟通、座谈、视察等形式进行督办。</w:t>
            </w:r>
          </w:p>
        </w:tc>
        <w:tc>
          <w:tcPr>
            <w:tcW w:w="2976" w:type="dxa"/>
            <w:vMerge w:val="restart"/>
            <w:shd w:val="clear" w:color="auto" w:fill="auto"/>
            <w:vAlign w:val="center"/>
          </w:tcPr>
          <w:p w14:paraId="4836B5D7">
            <w:pPr>
              <w:spacing w:line="300" w:lineRule="exact"/>
              <w:jc w:val="left"/>
              <w:rPr>
                <w:rFonts w:ascii="方正书宋_GBK" w:eastAsia="方正书宋_GBK"/>
              </w:rPr>
            </w:pPr>
            <w:r>
              <w:rPr>
                <w:rFonts w:hint="eastAsia" w:ascii="方正书宋_GBK" w:eastAsia="方正书宋_GBK"/>
              </w:rPr>
              <w:t>完善提案审查、办理和反馈机制，做到提案程序更加规范，制度更加完善，提案质量和办理质量不断提高，政协履职作用更加突出。</w:t>
            </w:r>
          </w:p>
        </w:tc>
        <w:tc>
          <w:tcPr>
            <w:tcW w:w="1417" w:type="dxa"/>
            <w:shd w:val="clear" w:color="auto" w:fill="auto"/>
            <w:vAlign w:val="center"/>
          </w:tcPr>
          <w:p w14:paraId="757C3556">
            <w:pPr>
              <w:spacing w:line="300" w:lineRule="exact"/>
              <w:jc w:val="left"/>
              <w:rPr>
                <w:rFonts w:ascii="方正书宋_GBK" w:eastAsia="方正书宋_GBK"/>
              </w:rPr>
            </w:pPr>
            <w:r>
              <w:rPr>
                <w:rFonts w:hint="eastAsia" w:ascii="方正书宋_GBK" w:eastAsia="方正书宋_GBK"/>
              </w:rPr>
              <w:t>提案交办率</w:t>
            </w:r>
          </w:p>
        </w:tc>
        <w:tc>
          <w:tcPr>
            <w:tcW w:w="737" w:type="dxa"/>
            <w:shd w:val="clear" w:color="auto" w:fill="auto"/>
            <w:vAlign w:val="center"/>
          </w:tcPr>
          <w:p w14:paraId="5EBEFAFA">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7BD15CED">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2B188AC8">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5220DA86">
            <w:pPr>
              <w:spacing w:line="300" w:lineRule="exact"/>
              <w:jc w:val="center"/>
              <w:rPr>
                <w:rFonts w:ascii="方正书宋_GBK" w:eastAsia="方正书宋_GBK"/>
              </w:rPr>
            </w:pPr>
            <w:r>
              <w:rPr>
                <w:rFonts w:ascii="方正书宋_GBK" w:eastAsia="方正书宋_GBK"/>
              </w:rPr>
              <w:t>&lt;90%</w:t>
            </w:r>
          </w:p>
        </w:tc>
      </w:tr>
      <w:tr w14:paraId="1DF7B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6F859B39">
            <w:pPr>
              <w:spacing w:line="300" w:lineRule="exact"/>
              <w:jc w:val="left"/>
              <w:rPr>
                <w:rFonts w:ascii="方正书宋_GBK" w:eastAsia="方正书宋_GBK"/>
                <w:b/>
              </w:rPr>
            </w:pPr>
          </w:p>
        </w:tc>
        <w:tc>
          <w:tcPr>
            <w:tcW w:w="1276" w:type="dxa"/>
            <w:vMerge w:val="continue"/>
            <w:shd w:val="clear" w:color="auto" w:fill="auto"/>
            <w:vAlign w:val="center"/>
          </w:tcPr>
          <w:p w14:paraId="4ED52194">
            <w:pPr>
              <w:spacing w:line="300" w:lineRule="exact"/>
              <w:jc w:val="left"/>
              <w:rPr>
                <w:rFonts w:ascii="方正书宋_GBK" w:eastAsia="方正书宋_GBK"/>
              </w:rPr>
            </w:pPr>
          </w:p>
        </w:tc>
        <w:tc>
          <w:tcPr>
            <w:tcW w:w="2976" w:type="dxa"/>
            <w:vMerge w:val="continue"/>
            <w:shd w:val="clear" w:color="auto" w:fill="auto"/>
            <w:vAlign w:val="center"/>
          </w:tcPr>
          <w:p w14:paraId="6EFE1502">
            <w:pPr>
              <w:spacing w:line="300" w:lineRule="exact"/>
              <w:jc w:val="left"/>
              <w:rPr>
                <w:rFonts w:ascii="方正书宋_GBK" w:eastAsia="方正书宋_GBK"/>
              </w:rPr>
            </w:pPr>
          </w:p>
        </w:tc>
        <w:tc>
          <w:tcPr>
            <w:tcW w:w="2976" w:type="dxa"/>
            <w:vMerge w:val="continue"/>
            <w:shd w:val="clear" w:color="auto" w:fill="auto"/>
            <w:vAlign w:val="center"/>
          </w:tcPr>
          <w:p w14:paraId="4DDA598A">
            <w:pPr>
              <w:spacing w:line="300" w:lineRule="exact"/>
              <w:jc w:val="left"/>
              <w:rPr>
                <w:rFonts w:ascii="方正书宋_GBK" w:eastAsia="方正书宋_GBK"/>
              </w:rPr>
            </w:pPr>
          </w:p>
        </w:tc>
        <w:tc>
          <w:tcPr>
            <w:tcW w:w="1417" w:type="dxa"/>
            <w:shd w:val="clear" w:color="auto" w:fill="auto"/>
            <w:vAlign w:val="center"/>
          </w:tcPr>
          <w:p w14:paraId="52E050CB">
            <w:pPr>
              <w:spacing w:line="300" w:lineRule="exact"/>
              <w:jc w:val="left"/>
              <w:rPr>
                <w:rFonts w:ascii="方正书宋_GBK" w:eastAsia="方正书宋_GBK"/>
              </w:rPr>
            </w:pPr>
            <w:r>
              <w:rPr>
                <w:rFonts w:hint="eastAsia" w:ascii="方正书宋_GBK" w:eastAsia="方正书宋_GBK"/>
              </w:rPr>
              <w:t>提案督办完成率</w:t>
            </w:r>
          </w:p>
        </w:tc>
        <w:tc>
          <w:tcPr>
            <w:tcW w:w="737" w:type="dxa"/>
            <w:shd w:val="clear" w:color="auto" w:fill="auto"/>
            <w:vAlign w:val="center"/>
          </w:tcPr>
          <w:p w14:paraId="1858B3ED">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1F72AC27">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4C0D8A76">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10EB0BFF">
            <w:pPr>
              <w:spacing w:line="300" w:lineRule="exact"/>
              <w:jc w:val="center"/>
              <w:rPr>
                <w:rFonts w:ascii="方正书宋_GBK" w:eastAsia="方正书宋_GBK"/>
              </w:rPr>
            </w:pPr>
            <w:r>
              <w:rPr>
                <w:rFonts w:ascii="方正书宋_GBK" w:eastAsia="方正书宋_GBK"/>
              </w:rPr>
              <w:t>&lt;90%</w:t>
            </w:r>
          </w:p>
        </w:tc>
      </w:tr>
      <w:tr w14:paraId="37D48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0FCDACAC">
            <w:pPr>
              <w:spacing w:line="300" w:lineRule="exact"/>
              <w:jc w:val="left"/>
              <w:rPr>
                <w:rFonts w:ascii="方正书宋_GBK" w:eastAsia="方正书宋_GBK"/>
                <w:b/>
              </w:rPr>
            </w:pPr>
            <w:r>
              <w:rPr>
                <w:rFonts w:hint="eastAsia" w:ascii="方正书宋_GBK" w:eastAsia="方正书宋_GBK"/>
                <w:b/>
              </w:rPr>
              <w:t>三、参政议政</w:t>
            </w:r>
          </w:p>
        </w:tc>
        <w:tc>
          <w:tcPr>
            <w:tcW w:w="1276" w:type="dxa"/>
            <w:shd w:val="clear" w:color="auto" w:fill="auto"/>
            <w:vAlign w:val="center"/>
          </w:tcPr>
          <w:p w14:paraId="4200793A">
            <w:pPr>
              <w:spacing w:line="300" w:lineRule="exact"/>
              <w:jc w:val="left"/>
              <w:rPr>
                <w:rFonts w:ascii="方正书宋_GBK" w:eastAsiaTheme="minorEastAsia"/>
              </w:rPr>
            </w:pPr>
            <w:r>
              <w:rPr>
                <w:rFonts w:hint="eastAsia" w:ascii="方正书宋_GBK" w:eastAsiaTheme="minorEastAsia"/>
              </w:rPr>
              <w:t>4.49</w:t>
            </w:r>
          </w:p>
        </w:tc>
        <w:tc>
          <w:tcPr>
            <w:tcW w:w="2976" w:type="dxa"/>
            <w:shd w:val="clear" w:color="auto" w:fill="auto"/>
            <w:vAlign w:val="center"/>
          </w:tcPr>
          <w:p w14:paraId="68B45CD5">
            <w:pPr>
              <w:spacing w:line="300" w:lineRule="exact"/>
              <w:jc w:val="left"/>
              <w:rPr>
                <w:rFonts w:ascii="方正书宋_GBK" w:eastAsia="方正书宋_GBK"/>
              </w:rPr>
            </w:pPr>
            <w:r>
              <w:rPr>
                <w:rFonts w:hint="eastAsia" w:ascii="方正书宋_GBK" w:eastAsia="方正书宋_GBK"/>
              </w:rPr>
              <w:t>通过对重大问题以及人民群众普遍关心的问题，开展调查研究，反映社情民意，进行协商讨论，以调研报告、建议案或其他形式，向县委、县政府提出意见和建议。</w:t>
            </w:r>
          </w:p>
        </w:tc>
        <w:tc>
          <w:tcPr>
            <w:tcW w:w="2976" w:type="dxa"/>
            <w:shd w:val="clear" w:color="auto" w:fill="auto"/>
            <w:vAlign w:val="center"/>
          </w:tcPr>
          <w:p w14:paraId="0A5BA2B1">
            <w:pPr>
              <w:spacing w:line="300" w:lineRule="exact"/>
              <w:jc w:val="left"/>
              <w:rPr>
                <w:rFonts w:ascii="方正书宋_GBK" w:eastAsia="方正书宋_GBK"/>
              </w:rPr>
            </w:pPr>
            <w:r>
              <w:rPr>
                <w:rFonts w:hint="eastAsia" w:ascii="方正书宋_GBK" w:eastAsia="方正书宋_GBK"/>
              </w:rPr>
              <w:t>发挥政协作为扩大社会各界有序参与的重要渠道作用，探索开展活动的新方法新途径，充分调动委员参政议政积极，向县委、县政府提出高质量的建议案。</w:t>
            </w:r>
          </w:p>
        </w:tc>
        <w:tc>
          <w:tcPr>
            <w:tcW w:w="1417" w:type="dxa"/>
            <w:shd w:val="clear" w:color="auto" w:fill="auto"/>
            <w:vAlign w:val="center"/>
          </w:tcPr>
          <w:p w14:paraId="4E2FEEB8">
            <w:pPr>
              <w:spacing w:line="300" w:lineRule="exact"/>
              <w:jc w:val="left"/>
              <w:rPr>
                <w:rFonts w:ascii="方正书宋_GBK" w:eastAsia="方正书宋_GBK"/>
              </w:rPr>
            </w:pPr>
          </w:p>
        </w:tc>
        <w:tc>
          <w:tcPr>
            <w:tcW w:w="737" w:type="dxa"/>
            <w:shd w:val="clear" w:color="auto" w:fill="auto"/>
            <w:vAlign w:val="center"/>
          </w:tcPr>
          <w:p w14:paraId="0F54081B">
            <w:pPr>
              <w:spacing w:line="300" w:lineRule="exact"/>
              <w:jc w:val="center"/>
              <w:rPr>
                <w:rFonts w:ascii="方正书宋_GBK" w:eastAsia="方正书宋_GBK"/>
              </w:rPr>
            </w:pPr>
          </w:p>
        </w:tc>
        <w:tc>
          <w:tcPr>
            <w:tcW w:w="737" w:type="dxa"/>
            <w:shd w:val="clear" w:color="auto" w:fill="auto"/>
            <w:vAlign w:val="center"/>
          </w:tcPr>
          <w:p w14:paraId="330CF698">
            <w:pPr>
              <w:spacing w:line="300" w:lineRule="exact"/>
              <w:jc w:val="center"/>
              <w:rPr>
                <w:rFonts w:ascii="方正书宋_GBK" w:eastAsia="方正书宋_GBK"/>
              </w:rPr>
            </w:pPr>
          </w:p>
        </w:tc>
        <w:tc>
          <w:tcPr>
            <w:tcW w:w="737" w:type="dxa"/>
            <w:shd w:val="clear" w:color="auto" w:fill="auto"/>
            <w:vAlign w:val="center"/>
          </w:tcPr>
          <w:p w14:paraId="4CAE963D">
            <w:pPr>
              <w:spacing w:line="300" w:lineRule="exact"/>
              <w:jc w:val="center"/>
              <w:rPr>
                <w:rFonts w:ascii="方正书宋_GBK" w:eastAsia="方正书宋_GBK"/>
              </w:rPr>
            </w:pPr>
          </w:p>
        </w:tc>
        <w:tc>
          <w:tcPr>
            <w:tcW w:w="737" w:type="dxa"/>
            <w:shd w:val="clear" w:color="auto" w:fill="auto"/>
            <w:vAlign w:val="center"/>
          </w:tcPr>
          <w:p w14:paraId="1F4F9CD7">
            <w:pPr>
              <w:spacing w:line="300" w:lineRule="exact"/>
              <w:jc w:val="center"/>
              <w:rPr>
                <w:rFonts w:ascii="方正书宋_GBK" w:eastAsia="方正书宋_GBK"/>
              </w:rPr>
            </w:pPr>
          </w:p>
        </w:tc>
      </w:tr>
      <w:tr w14:paraId="2F744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4076BA57">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、专题调研</w:t>
            </w:r>
          </w:p>
        </w:tc>
        <w:tc>
          <w:tcPr>
            <w:tcW w:w="1276" w:type="dxa"/>
            <w:vMerge w:val="restart"/>
            <w:shd w:val="clear" w:color="auto" w:fill="auto"/>
            <w:vAlign w:val="center"/>
          </w:tcPr>
          <w:p w14:paraId="08CE9C6A">
            <w:pPr>
              <w:spacing w:line="300" w:lineRule="exact"/>
              <w:jc w:val="left"/>
              <w:rPr>
                <w:rFonts w:ascii="方正书宋_GBK" w:eastAsiaTheme="minorEastAsia"/>
              </w:rPr>
            </w:pPr>
            <w:r>
              <w:rPr>
                <w:rFonts w:hint="eastAsia" w:ascii="方正书宋_GBK" w:eastAsiaTheme="minorEastAsia"/>
              </w:rPr>
              <w:t>4.49</w:t>
            </w:r>
          </w:p>
        </w:tc>
        <w:tc>
          <w:tcPr>
            <w:tcW w:w="2976" w:type="dxa"/>
            <w:vMerge w:val="restart"/>
            <w:shd w:val="clear" w:color="auto" w:fill="auto"/>
            <w:vAlign w:val="center"/>
          </w:tcPr>
          <w:p w14:paraId="79C31B7F">
            <w:pPr>
              <w:spacing w:line="300" w:lineRule="exact"/>
              <w:jc w:val="left"/>
              <w:rPr>
                <w:rFonts w:ascii="方正书宋_GBK" w:eastAsia="方正书宋_GBK"/>
              </w:rPr>
            </w:pPr>
            <w:r>
              <w:rPr>
                <w:rFonts w:hint="eastAsia" w:ascii="方正书宋_GBK" w:eastAsia="方正书宋_GBK"/>
              </w:rPr>
              <w:t>选择经济社会发展中具有综合性、全局性、前瞻性的课题，在县委和县政府有关部门密切配合下，深入调查研究，开展咨询论证、提出意见建议。</w:t>
            </w:r>
          </w:p>
        </w:tc>
        <w:tc>
          <w:tcPr>
            <w:tcW w:w="2976" w:type="dxa"/>
            <w:vMerge w:val="restart"/>
            <w:shd w:val="clear" w:color="auto" w:fill="auto"/>
            <w:vAlign w:val="center"/>
          </w:tcPr>
          <w:p w14:paraId="6157F60D">
            <w:pPr>
              <w:spacing w:line="300" w:lineRule="exact"/>
              <w:jc w:val="left"/>
              <w:rPr>
                <w:rFonts w:ascii="方正书宋_GBK" w:eastAsia="方正书宋_GBK"/>
              </w:rPr>
            </w:pPr>
            <w:r>
              <w:rPr>
                <w:rFonts w:hint="eastAsia" w:ascii="方正书宋_GBK" w:eastAsia="方正书宋_GBK"/>
              </w:rPr>
              <w:t>通过调研课题就党和政府关注的问题，提出客观、有价值、有分量、有影响的意见建议，促进决策民主化和科学化。</w:t>
            </w:r>
          </w:p>
        </w:tc>
        <w:tc>
          <w:tcPr>
            <w:tcW w:w="1417" w:type="dxa"/>
            <w:shd w:val="clear" w:color="auto" w:fill="auto"/>
            <w:vAlign w:val="center"/>
          </w:tcPr>
          <w:p w14:paraId="5312A8E6">
            <w:pPr>
              <w:spacing w:line="300" w:lineRule="exact"/>
              <w:jc w:val="left"/>
              <w:rPr>
                <w:rFonts w:ascii="方正书宋_GBK" w:eastAsia="方正书宋_GBK"/>
              </w:rPr>
            </w:pPr>
            <w:r>
              <w:rPr>
                <w:rFonts w:hint="eastAsia" w:ascii="方正书宋_GBK" w:eastAsia="方正书宋_GBK"/>
              </w:rPr>
              <w:t>调研结果和政策建议采纳数</w:t>
            </w:r>
          </w:p>
        </w:tc>
        <w:tc>
          <w:tcPr>
            <w:tcW w:w="737" w:type="dxa"/>
            <w:shd w:val="clear" w:color="auto" w:fill="auto"/>
            <w:vAlign w:val="center"/>
          </w:tcPr>
          <w:p w14:paraId="27C2461A">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14:paraId="102BFB5D">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30%</w:t>
            </w:r>
          </w:p>
        </w:tc>
        <w:tc>
          <w:tcPr>
            <w:tcW w:w="737" w:type="dxa"/>
            <w:shd w:val="clear" w:color="auto" w:fill="auto"/>
            <w:vAlign w:val="center"/>
          </w:tcPr>
          <w:p w14:paraId="038B55EE">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20%</w:t>
            </w:r>
          </w:p>
        </w:tc>
        <w:tc>
          <w:tcPr>
            <w:tcW w:w="737" w:type="dxa"/>
            <w:shd w:val="clear" w:color="auto" w:fill="auto"/>
            <w:vAlign w:val="center"/>
          </w:tcPr>
          <w:p w14:paraId="153B8927">
            <w:pPr>
              <w:spacing w:line="300" w:lineRule="exact"/>
              <w:jc w:val="center"/>
              <w:rPr>
                <w:rFonts w:ascii="方正书宋_GBK" w:eastAsia="方正书宋_GBK"/>
              </w:rPr>
            </w:pPr>
            <w:r>
              <w:rPr>
                <w:rFonts w:ascii="方正书宋_GBK" w:eastAsia="方正书宋_GBK"/>
              </w:rPr>
              <w:t>&lt;20%</w:t>
            </w:r>
          </w:p>
        </w:tc>
      </w:tr>
      <w:tr w14:paraId="77715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15F26CAA">
            <w:pPr>
              <w:spacing w:line="300" w:lineRule="exact"/>
              <w:jc w:val="left"/>
              <w:rPr>
                <w:rFonts w:ascii="方正书宋_GBK" w:eastAsia="方正书宋_GBK"/>
                <w:b/>
              </w:rPr>
            </w:pPr>
          </w:p>
        </w:tc>
        <w:tc>
          <w:tcPr>
            <w:tcW w:w="1276" w:type="dxa"/>
            <w:vMerge w:val="continue"/>
            <w:shd w:val="clear" w:color="auto" w:fill="auto"/>
            <w:vAlign w:val="center"/>
          </w:tcPr>
          <w:p w14:paraId="7926B509">
            <w:pPr>
              <w:spacing w:line="300" w:lineRule="exact"/>
              <w:jc w:val="left"/>
              <w:rPr>
                <w:rFonts w:ascii="方正书宋_GBK" w:eastAsia="方正书宋_GBK"/>
              </w:rPr>
            </w:pPr>
          </w:p>
        </w:tc>
        <w:tc>
          <w:tcPr>
            <w:tcW w:w="2976" w:type="dxa"/>
            <w:vMerge w:val="continue"/>
            <w:shd w:val="clear" w:color="auto" w:fill="auto"/>
            <w:vAlign w:val="center"/>
          </w:tcPr>
          <w:p w14:paraId="38688EA8">
            <w:pPr>
              <w:spacing w:line="300" w:lineRule="exact"/>
              <w:jc w:val="left"/>
              <w:rPr>
                <w:rFonts w:ascii="方正书宋_GBK" w:eastAsia="方正书宋_GBK"/>
              </w:rPr>
            </w:pPr>
          </w:p>
        </w:tc>
        <w:tc>
          <w:tcPr>
            <w:tcW w:w="2976" w:type="dxa"/>
            <w:vMerge w:val="continue"/>
            <w:shd w:val="clear" w:color="auto" w:fill="auto"/>
            <w:vAlign w:val="center"/>
          </w:tcPr>
          <w:p w14:paraId="61C09E91">
            <w:pPr>
              <w:spacing w:line="300" w:lineRule="exact"/>
              <w:jc w:val="left"/>
              <w:rPr>
                <w:rFonts w:ascii="方正书宋_GBK" w:eastAsia="方正书宋_GBK"/>
              </w:rPr>
            </w:pPr>
          </w:p>
        </w:tc>
        <w:tc>
          <w:tcPr>
            <w:tcW w:w="1417" w:type="dxa"/>
            <w:shd w:val="clear" w:color="auto" w:fill="auto"/>
            <w:vAlign w:val="center"/>
          </w:tcPr>
          <w:p w14:paraId="6FAAF3C0">
            <w:pPr>
              <w:spacing w:line="300" w:lineRule="exact"/>
              <w:jc w:val="left"/>
              <w:rPr>
                <w:rFonts w:ascii="方正书宋_GBK" w:eastAsia="方正书宋_GBK"/>
              </w:rPr>
            </w:pPr>
            <w:r>
              <w:rPr>
                <w:rFonts w:hint="eastAsia" w:ascii="方正书宋_GBK" w:eastAsia="方正书宋_GBK"/>
              </w:rPr>
              <w:t>重点课题和专项调研完成率</w:t>
            </w:r>
          </w:p>
        </w:tc>
        <w:tc>
          <w:tcPr>
            <w:tcW w:w="737" w:type="dxa"/>
            <w:shd w:val="clear" w:color="auto" w:fill="auto"/>
            <w:vAlign w:val="center"/>
          </w:tcPr>
          <w:p w14:paraId="2E521F1F">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p>
        </w:tc>
        <w:tc>
          <w:tcPr>
            <w:tcW w:w="737" w:type="dxa"/>
            <w:shd w:val="clear" w:color="auto" w:fill="auto"/>
            <w:vAlign w:val="center"/>
          </w:tcPr>
          <w:p w14:paraId="38CB3C62">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285B5A4E">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34A62B7D">
            <w:pPr>
              <w:spacing w:line="300" w:lineRule="exact"/>
              <w:jc w:val="center"/>
              <w:rPr>
                <w:rFonts w:ascii="方正书宋_GBK" w:eastAsia="方正书宋_GBK"/>
              </w:rPr>
            </w:pPr>
            <w:r>
              <w:rPr>
                <w:rFonts w:ascii="方正书宋_GBK" w:eastAsia="方正书宋_GBK"/>
              </w:rPr>
              <w:t>&lt;90%</w:t>
            </w:r>
          </w:p>
        </w:tc>
      </w:tr>
      <w:tr w14:paraId="24E86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14D8F69D">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、社情民意</w:t>
            </w:r>
          </w:p>
        </w:tc>
        <w:tc>
          <w:tcPr>
            <w:tcW w:w="1276" w:type="dxa"/>
            <w:shd w:val="clear" w:color="auto" w:fill="auto"/>
            <w:vAlign w:val="center"/>
          </w:tcPr>
          <w:p w14:paraId="0D7308A7">
            <w:pPr>
              <w:spacing w:line="300" w:lineRule="exact"/>
              <w:jc w:val="left"/>
              <w:rPr>
                <w:rFonts w:ascii="方正书宋_GBK" w:eastAsia="方正书宋_GBK"/>
              </w:rPr>
            </w:pPr>
          </w:p>
        </w:tc>
        <w:tc>
          <w:tcPr>
            <w:tcW w:w="2976" w:type="dxa"/>
            <w:shd w:val="clear" w:color="auto" w:fill="auto"/>
            <w:vAlign w:val="center"/>
          </w:tcPr>
          <w:p w14:paraId="211E318E">
            <w:pPr>
              <w:spacing w:line="300" w:lineRule="exact"/>
              <w:jc w:val="left"/>
              <w:rPr>
                <w:rFonts w:ascii="方正书宋_GBK" w:eastAsia="方正书宋_GBK"/>
              </w:rPr>
            </w:pPr>
            <w:r>
              <w:rPr>
                <w:rFonts w:hint="eastAsia" w:ascii="方正书宋_GBK" w:eastAsia="方正书宋_GBK"/>
              </w:rPr>
              <w:t>利用政协自身包容各界、联系广泛、人才聚集的优势和特点，了解和反映社会不同阶层、群体的愿望和要求，将分散在民间、基层有识之士的真知灼见反映给决策部门。</w:t>
            </w:r>
          </w:p>
        </w:tc>
        <w:tc>
          <w:tcPr>
            <w:tcW w:w="2976" w:type="dxa"/>
            <w:shd w:val="clear" w:color="auto" w:fill="auto"/>
            <w:vAlign w:val="center"/>
          </w:tcPr>
          <w:p w14:paraId="4FB16752">
            <w:pPr>
              <w:spacing w:line="300" w:lineRule="exact"/>
              <w:jc w:val="left"/>
              <w:rPr>
                <w:rFonts w:ascii="方正书宋_GBK" w:eastAsia="方正书宋_GBK"/>
              </w:rPr>
            </w:pPr>
            <w:r>
              <w:rPr>
                <w:rFonts w:hint="eastAsia" w:ascii="方正书宋_GBK" w:eastAsia="方正书宋_GBK"/>
              </w:rPr>
              <w:t>通过界别渠道密切联系群众，反映社情民意，努力做到协调关系、化解矛盾、理顺情绪，增进社会各阶层不同利益群体的和谐和稳定。</w:t>
            </w:r>
          </w:p>
        </w:tc>
        <w:tc>
          <w:tcPr>
            <w:tcW w:w="1417" w:type="dxa"/>
            <w:shd w:val="clear" w:color="auto" w:fill="auto"/>
            <w:vAlign w:val="center"/>
          </w:tcPr>
          <w:p w14:paraId="03A45F63">
            <w:pPr>
              <w:spacing w:line="300" w:lineRule="exact"/>
              <w:jc w:val="left"/>
              <w:rPr>
                <w:rFonts w:ascii="方正书宋_GBK" w:eastAsia="方正书宋_GBK"/>
              </w:rPr>
            </w:pPr>
            <w:r>
              <w:rPr>
                <w:rFonts w:hint="eastAsia" w:ascii="方正书宋_GBK" w:eastAsia="方正书宋_GBK"/>
              </w:rPr>
              <w:t>社情民意反映率</w:t>
            </w:r>
          </w:p>
        </w:tc>
        <w:tc>
          <w:tcPr>
            <w:tcW w:w="737" w:type="dxa"/>
            <w:shd w:val="clear" w:color="auto" w:fill="auto"/>
            <w:vAlign w:val="center"/>
          </w:tcPr>
          <w:p w14:paraId="523B3304">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691F4F76">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14:paraId="2DC27578">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14:paraId="5BF7DA50">
            <w:pPr>
              <w:spacing w:line="300" w:lineRule="exact"/>
              <w:jc w:val="center"/>
              <w:rPr>
                <w:rFonts w:ascii="方正书宋_GBK" w:eastAsia="方正书宋_GBK"/>
              </w:rPr>
            </w:pPr>
            <w:r>
              <w:rPr>
                <w:rFonts w:ascii="方正书宋_GBK" w:eastAsia="方正书宋_GBK"/>
              </w:rPr>
              <w:t>&lt;50%</w:t>
            </w:r>
          </w:p>
        </w:tc>
      </w:tr>
      <w:tr w14:paraId="64F47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313740C1">
            <w:pPr>
              <w:spacing w:line="300" w:lineRule="exact"/>
              <w:jc w:val="left"/>
              <w:rPr>
                <w:rFonts w:ascii="方正书宋_GBK" w:eastAsia="方正书宋_GBK"/>
                <w:b/>
              </w:rPr>
            </w:pPr>
            <w:r>
              <w:rPr>
                <w:rFonts w:hint="eastAsia" w:ascii="方正书宋_GBK" w:eastAsia="方正书宋_GBK"/>
                <w:b/>
              </w:rPr>
              <w:t>四、政协事务管理</w:t>
            </w:r>
          </w:p>
        </w:tc>
        <w:tc>
          <w:tcPr>
            <w:tcW w:w="1276" w:type="dxa"/>
            <w:shd w:val="clear" w:color="auto" w:fill="auto"/>
            <w:vAlign w:val="center"/>
          </w:tcPr>
          <w:p w14:paraId="501052D1">
            <w:pPr>
              <w:spacing w:line="300" w:lineRule="exact"/>
              <w:jc w:val="left"/>
              <w:rPr>
                <w:rFonts w:ascii="方正书宋_GBK" w:eastAsia="方正书宋_GBK"/>
              </w:rPr>
            </w:pPr>
          </w:p>
        </w:tc>
        <w:tc>
          <w:tcPr>
            <w:tcW w:w="2976" w:type="dxa"/>
            <w:shd w:val="clear" w:color="auto" w:fill="auto"/>
            <w:vAlign w:val="center"/>
          </w:tcPr>
          <w:p w14:paraId="3DA5CD68">
            <w:pPr>
              <w:spacing w:line="300" w:lineRule="exact"/>
              <w:jc w:val="left"/>
              <w:rPr>
                <w:rFonts w:ascii="方正书宋_GBK" w:eastAsia="方正书宋_GBK"/>
              </w:rPr>
            </w:pPr>
            <w:r>
              <w:rPr>
                <w:rFonts w:hint="eastAsia" w:ascii="方正书宋_GBK" w:eastAsia="方正书宋_GBK"/>
              </w:rPr>
              <w:t>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tc>
        <w:tc>
          <w:tcPr>
            <w:tcW w:w="2976" w:type="dxa"/>
            <w:shd w:val="clear" w:color="auto" w:fill="auto"/>
            <w:vAlign w:val="center"/>
          </w:tcPr>
          <w:p w14:paraId="19C734D2">
            <w:pPr>
              <w:spacing w:line="300" w:lineRule="exact"/>
              <w:jc w:val="left"/>
              <w:rPr>
                <w:rFonts w:ascii="方正书宋_GBK" w:eastAsia="方正书宋_GBK"/>
              </w:rPr>
            </w:pPr>
            <w:r>
              <w:rPr>
                <w:rFonts w:hint="eastAsia" w:ascii="方正书宋_GBK" w:eastAsia="方正书宋_GBK"/>
              </w:rPr>
              <w:t>机关自身建设、服务保障能力进一步提升。</w:t>
            </w:r>
          </w:p>
        </w:tc>
        <w:tc>
          <w:tcPr>
            <w:tcW w:w="1417" w:type="dxa"/>
            <w:shd w:val="clear" w:color="auto" w:fill="auto"/>
            <w:vAlign w:val="center"/>
          </w:tcPr>
          <w:p w14:paraId="305E6DAF">
            <w:pPr>
              <w:spacing w:line="300" w:lineRule="exact"/>
              <w:jc w:val="left"/>
              <w:rPr>
                <w:rFonts w:ascii="方正书宋_GBK" w:eastAsia="方正书宋_GBK"/>
              </w:rPr>
            </w:pPr>
          </w:p>
        </w:tc>
        <w:tc>
          <w:tcPr>
            <w:tcW w:w="737" w:type="dxa"/>
            <w:shd w:val="clear" w:color="auto" w:fill="auto"/>
            <w:vAlign w:val="center"/>
          </w:tcPr>
          <w:p w14:paraId="199E5D31">
            <w:pPr>
              <w:spacing w:line="300" w:lineRule="exact"/>
              <w:jc w:val="center"/>
              <w:rPr>
                <w:rFonts w:ascii="方正书宋_GBK" w:eastAsia="方正书宋_GBK"/>
              </w:rPr>
            </w:pPr>
          </w:p>
        </w:tc>
        <w:tc>
          <w:tcPr>
            <w:tcW w:w="737" w:type="dxa"/>
            <w:shd w:val="clear" w:color="auto" w:fill="auto"/>
            <w:vAlign w:val="center"/>
          </w:tcPr>
          <w:p w14:paraId="7AA73356">
            <w:pPr>
              <w:spacing w:line="300" w:lineRule="exact"/>
              <w:jc w:val="center"/>
              <w:rPr>
                <w:rFonts w:ascii="方正书宋_GBK" w:eastAsia="方正书宋_GBK"/>
              </w:rPr>
            </w:pPr>
          </w:p>
        </w:tc>
        <w:tc>
          <w:tcPr>
            <w:tcW w:w="737" w:type="dxa"/>
            <w:shd w:val="clear" w:color="auto" w:fill="auto"/>
            <w:vAlign w:val="center"/>
          </w:tcPr>
          <w:p w14:paraId="2BF0B78D">
            <w:pPr>
              <w:spacing w:line="300" w:lineRule="exact"/>
              <w:jc w:val="center"/>
              <w:rPr>
                <w:rFonts w:ascii="方正书宋_GBK" w:eastAsia="方正书宋_GBK"/>
              </w:rPr>
            </w:pPr>
          </w:p>
        </w:tc>
        <w:tc>
          <w:tcPr>
            <w:tcW w:w="737" w:type="dxa"/>
            <w:shd w:val="clear" w:color="auto" w:fill="auto"/>
            <w:vAlign w:val="center"/>
          </w:tcPr>
          <w:p w14:paraId="6A16A63C">
            <w:pPr>
              <w:spacing w:line="300" w:lineRule="exact"/>
              <w:jc w:val="center"/>
              <w:rPr>
                <w:rFonts w:ascii="方正书宋_GBK" w:eastAsia="方正书宋_GBK"/>
              </w:rPr>
            </w:pPr>
          </w:p>
        </w:tc>
      </w:tr>
      <w:tr w14:paraId="68CD6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56418808">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、综合业务管理</w:t>
            </w:r>
          </w:p>
        </w:tc>
        <w:tc>
          <w:tcPr>
            <w:tcW w:w="1276" w:type="dxa"/>
            <w:shd w:val="clear" w:color="auto" w:fill="auto"/>
            <w:vAlign w:val="center"/>
          </w:tcPr>
          <w:p w14:paraId="5257F1CE">
            <w:pPr>
              <w:spacing w:line="300" w:lineRule="exact"/>
              <w:jc w:val="left"/>
              <w:rPr>
                <w:rFonts w:ascii="方正书宋_GBK" w:eastAsia="方正书宋_GBK"/>
              </w:rPr>
            </w:pPr>
          </w:p>
        </w:tc>
        <w:tc>
          <w:tcPr>
            <w:tcW w:w="2976" w:type="dxa"/>
            <w:shd w:val="clear" w:color="auto" w:fill="auto"/>
            <w:vAlign w:val="center"/>
          </w:tcPr>
          <w:p w14:paraId="51417A72">
            <w:pPr>
              <w:spacing w:line="300" w:lineRule="exact"/>
              <w:jc w:val="left"/>
              <w:rPr>
                <w:rFonts w:ascii="方正书宋_GBK" w:eastAsia="方正书宋_GBK"/>
              </w:rPr>
            </w:pPr>
            <w:r>
              <w:rPr>
                <w:rFonts w:hint="eastAsia" w:ascii="方正书宋_GBK" w:eastAsia="方正书宋_GBK"/>
              </w:rPr>
              <w:t>加强县政协机关与专委会自身建设以及理论研究和宣传工作，扩大与省市政协办公厅，县委、县人大常委会、县政府办公室，县各民主党派、工商联、人民团体、县直有关部门和乡政协的联系、协调工作。</w:t>
            </w:r>
          </w:p>
        </w:tc>
        <w:tc>
          <w:tcPr>
            <w:tcW w:w="2976" w:type="dxa"/>
            <w:shd w:val="clear" w:color="auto" w:fill="auto"/>
            <w:vAlign w:val="center"/>
          </w:tcPr>
          <w:p w14:paraId="0BF0A1B1">
            <w:pPr>
              <w:spacing w:line="300" w:lineRule="exact"/>
              <w:jc w:val="left"/>
              <w:rPr>
                <w:rFonts w:ascii="方正书宋_GBK" w:eastAsia="方正书宋_GBK"/>
              </w:rPr>
            </w:pPr>
            <w:r>
              <w:rPr>
                <w:rFonts w:hint="eastAsia" w:ascii="方正书宋_GBK" w:eastAsia="方正书宋_GBK"/>
              </w:rPr>
              <w:t>政协自身建设质量更加扎实，工作科学化水平进一步提升。文史资料的社会功能增强，理论研究成果服务履职作用明显。</w:t>
            </w:r>
          </w:p>
        </w:tc>
        <w:tc>
          <w:tcPr>
            <w:tcW w:w="1417" w:type="dxa"/>
            <w:shd w:val="clear" w:color="auto" w:fill="auto"/>
            <w:vAlign w:val="center"/>
          </w:tcPr>
          <w:p w14:paraId="76164488">
            <w:pPr>
              <w:spacing w:line="300" w:lineRule="exact"/>
              <w:jc w:val="left"/>
              <w:rPr>
                <w:rFonts w:ascii="方正书宋_GBK" w:eastAsia="方正书宋_GBK"/>
              </w:rPr>
            </w:pPr>
            <w:r>
              <w:rPr>
                <w:rFonts w:hint="eastAsia" w:ascii="方正书宋_GBK" w:eastAsia="方正书宋_GBK"/>
              </w:rPr>
              <w:t>综合业务管理工作完成率</w:t>
            </w:r>
          </w:p>
        </w:tc>
        <w:tc>
          <w:tcPr>
            <w:tcW w:w="737" w:type="dxa"/>
            <w:shd w:val="clear" w:color="auto" w:fill="auto"/>
            <w:vAlign w:val="center"/>
          </w:tcPr>
          <w:p w14:paraId="6C8A0CCF">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60602A4D">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634CCE75">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6F3DF5A9">
            <w:pPr>
              <w:spacing w:line="300" w:lineRule="exact"/>
              <w:jc w:val="center"/>
              <w:rPr>
                <w:rFonts w:ascii="方正书宋_GBK" w:eastAsia="方正书宋_GBK"/>
              </w:rPr>
            </w:pPr>
            <w:r>
              <w:rPr>
                <w:rFonts w:ascii="方正书宋_GBK" w:eastAsia="方正书宋_GBK"/>
              </w:rPr>
              <w:t>&lt;90%</w:t>
            </w:r>
          </w:p>
        </w:tc>
      </w:tr>
      <w:tr w14:paraId="65CE5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1C92803A">
            <w:pPr>
              <w:spacing w:line="300" w:lineRule="exact"/>
              <w:jc w:val="left"/>
              <w:rPr>
                <w:rFonts w:ascii="方正书宋_GBK" w:eastAsia="方正书宋_GBK"/>
                <w:b/>
                <w:i/>
              </w:rPr>
            </w:pPr>
            <w:r>
              <w:rPr>
                <w:rFonts w:hint="eastAsia" w:ascii="方正书宋_GBK" w:eastAsia="方正书宋_GBK"/>
                <w:b/>
                <w:i/>
              </w:rPr>
              <w:t>　　</w:t>
            </w:r>
            <w:r>
              <w:rPr>
                <w:rFonts w:ascii="方正书宋_GBK" w:eastAsia="方正书宋_GBK"/>
                <w:b/>
                <w:i/>
              </w:rPr>
              <w:t>2</w:t>
            </w:r>
            <w:r>
              <w:rPr>
                <w:rFonts w:hint="eastAsia" w:ascii="方正书宋_GBK" w:eastAsia="方正书宋_GBK"/>
                <w:b/>
                <w:i/>
              </w:rPr>
              <w:t>、综合事务管理</w:t>
            </w:r>
          </w:p>
        </w:tc>
        <w:tc>
          <w:tcPr>
            <w:tcW w:w="1276" w:type="dxa"/>
            <w:shd w:val="clear" w:color="auto" w:fill="auto"/>
            <w:vAlign w:val="center"/>
          </w:tcPr>
          <w:p w14:paraId="53E3F93A">
            <w:pPr>
              <w:spacing w:line="300" w:lineRule="exact"/>
              <w:jc w:val="left"/>
              <w:rPr>
                <w:rFonts w:ascii="方正书宋_GBK" w:eastAsia="方正书宋_GBK"/>
                <w:i/>
              </w:rPr>
            </w:pPr>
          </w:p>
        </w:tc>
        <w:tc>
          <w:tcPr>
            <w:tcW w:w="2976" w:type="dxa"/>
            <w:shd w:val="clear" w:color="auto" w:fill="auto"/>
            <w:vAlign w:val="center"/>
          </w:tcPr>
          <w:p w14:paraId="39B3347F">
            <w:pPr>
              <w:spacing w:line="300" w:lineRule="exact"/>
              <w:jc w:val="left"/>
              <w:rPr>
                <w:rFonts w:ascii="方正书宋_GBK" w:eastAsia="方正书宋_GBK"/>
              </w:rPr>
            </w:pPr>
            <w:r>
              <w:rPr>
                <w:rFonts w:hint="eastAsia" w:ascii="方正书宋_GBK" w:eastAsia="方正书宋_GBK"/>
              </w:rPr>
              <w:t>县政协机关的机构编制、人事任免、调配及人员培训、考核奖惩、工资福利，后勤保障、机关经费管理、资产管理、基建和审计，机关接待、离退休人员服务，以及承办县政协主席、副主席、秘书长交办的其他事项。</w:t>
            </w:r>
          </w:p>
        </w:tc>
        <w:tc>
          <w:tcPr>
            <w:tcW w:w="2976" w:type="dxa"/>
            <w:shd w:val="clear" w:color="auto" w:fill="auto"/>
            <w:vAlign w:val="center"/>
          </w:tcPr>
          <w:p w14:paraId="231E59E4">
            <w:pPr>
              <w:spacing w:line="300" w:lineRule="exact"/>
              <w:jc w:val="left"/>
              <w:rPr>
                <w:rFonts w:ascii="方正书宋_GBK" w:eastAsia="方正书宋_GBK"/>
              </w:rPr>
            </w:pPr>
            <w:r>
              <w:rPr>
                <w:rFonts w:hint="eastAsia" w:ascii="方正书宋_GBK" w:eastAsia="方正书宋_GBK"/>
              </w:rPr>
              <w:t>机关基本设施设备正常运转、信息化保障、老干部服务保障能力进一步提高。</w:t>
            </w:r>
          </w:p>
        </w:tc>
        <w:tc>
          <w:tcPr>
            <w:tcW w:w="1417" w:type="dxa"/>
            <w:shd w:val="clear" w:color="auto" w:fill="auto"/>
            <w:vAlign w:val="center"/>
          </w:tcPr>
          <w:p w14:paraId="11B3C9AE">
            <w:pPr>
              <w:spacing w:line="300" w:lineRule="exact"/>
              <w:jc w:val="left"/>
              <w:rPr>
                <w:rFonts w:ascii="方正书宋_GBK" w:eastAsia="方正书宋_GBK"/>
              </w:rPr>
            </w:pPr>
            <w:r>
              <w:rPr>
                <w:rFonts w:hint="eastAsia" w:ascii="方正书宋_GBK" w:eastAsia="方正书宋_GBK"/>
              </w:rPr>
              <w:t>综合事务保障率</w:t>
            </w:r>
          </w:p>
        </w:tc>
        <w:tc>
          <w:tcPr>
            <w:tcW w:w="737" w:type="dxa"/>
            <w:shd w:val="clear" w:color="auto" w:fill="auto"/>
            <w:vAlign w:val="center"/>
          </w:tcPr>
          <w:p w14:paraId="08AA4499">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0AEC0FAC">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279BE65A">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087059CB">
            <w:pPr>
              <w:spacing w:line="300" w:lineRule="exact"/>
              <w:jc w:val="center"/>
              <w:rPr>
                <w:rFonts w:ascii="方正书宋_GBK" w:eastAsia="方正书宋_GBK"/>
              </w:rPr>
            </w:pPr>
            <w:r>
              <w:rPr>
                <w:rFonts w:ascii="方正书宋_GBK" w:eastAsia="方正书宋_GBK"/>
              </w:rPr>
              <w:t>&lt;90%</w:t>
            </w:r>
          </w:p>
        </w:tc>
      </w:tr>
    </w:tbl>
    <w:p w14:paraId="7BE54BE7">
      <w:pPr>
        <w:spacing w:line="300" w:lineRule="exact"/>
        <w:jc w:val="left"/>
        <w:outlineLvl w:val="0"/>
        <w:sectPr>
          <w:pgSz w:w="16839" w:h="11907" w:orient="landscape"/>
          <w:pgMar w:top="1020" w:right="1361" w:bottom="1020" w:left="1361" w:header="851" w:footer="992" w:gutter="0"/>
          <w:cols w:space="425" w:num="1"/>
          <w:docGrid w:type="lines" w:linePitch="312" w:charSpace="0"/>
        </w:sectPr>
      </w:pPr>
    </w:p>
    <w:p w14:paraId="71064AB4">
      <w:pPr>
        <w:jc w:val="center"/>
        <w:outlineLvl w:val="0"/>
        <w:rPr>
          <w:rFonts w:ascii="黑体" w:hAnsi="黑体" w:eastAsia="黑体"/>
          <w:sz w:val="32"/>
          <w:szCs w:val="32"/>
        </w:rPr>
      </w:pPr>
    </w:p>
    <w:p w14:paraId="13669415">
      <w:pPr>
        <w:jc w:val="center"/>
        <w:outlineLvl w:val="0"/>
        <w:rPr>
          <w:rFonts w:hint="eastAsia" w:ascii="黑体" w:hAnsi="黑体" w:eastAsia="黑体"/>
          <w:sz w:val="32"/>
          <w:szCs w:val="32"/>
        </w:rPr>
      </w:pPr>
      <w:r>
        <w:rPr>
          <w:rFonts w:hint="eastAsia" w:ascii="黑体" w:hAnsi="黑体" w:eastAsia="黑体"/>
          <w:sz w:val="32"/>
          <w:szCs w:val="32"/>
        </w:rPr>
        <w:t>第六部分：政府采购预算情况</w:t>
      </w:r>
    </w:p>
    <w:p w14:paraId="23510D4A">
      <w:pPr>
        <w:ind w:firstLine="640" w:firstLineChars="200"/>
        <w:jc w:val="left"/>
        <w:outlineLvl w:val="0"/>
        <w:rPr>
          <w:rFonts w:hint="eastAsia" w:ascii="仿宋_GB2312" w:hAnsi="仿宋" w:eastAsia="仿宋_GB2312"/>
          <w:sz w:val="32"/>
          <w:szCs w:val="32"/>
        </w:rPr>
      </w:pPr>
      <w:r>
        <w:rPr>
          <w:rFonts w:hint="eastAsia" w:ascii="仿宋_GB2312" w:hAnsi="仿宋" w:eastAsia="仿宋_GB2312"/>
          <w:sz w:val="32"/>
          <w:szCs w:val="32"/>
        </w:rPr>
        <w:t>2019年，我单位因工作需要需购置办公设施，安排购置办公设施经费5.07万元。</w:t>
      </w:r>
      <w:r>
        <w:rPr>
          <w:rFonts w:hint="eastAsia" w:ascii="仿宋_GB2312" w:hAnsi="仿宋" w:eastAsia="仿宋_GB2312"/>
          <w:color w:val="000000"/>
          <w:sz w:val="32"/>
          <w:szCs w:val="32"/>
        </w:rPr>
        <w:t>具体内容见下表：</w:t>
      </w:r>
    </w:p>
    <w:p w14:paraId="4C0D2221">
      <w:pPr>
        <w:ind w:firstLine="6400" w:firstLineChars="2000"/>
        <w:outlineLvl w:val="0"/>
        <w:rPr>
          <w:rFonts w:hint="eastAsia" w:ascii="黑体" w:hAnsi="黑体" w:eastAsia="黑体"/>
          <w:sz w:val="32"/>
          <w:szCs w:val="32"/>
        </w:rPr>
      </w:pPr>
      <w:r>
        <w:rPr>
          <w:rFonts w:hint="eastAsia" w:ascii="黑体" w:hAnsi="黑体" w:eastAsia="黑体"/>
          <w:sz w:val="32"/>
          <w:szCs w:val="32"/>
        </w:rPr>
        <w:t>部门政府采购预算</w:t>
      </w:r>
    </w:p>
    <w:tbl>
      <w:tblPr>
        <w:tblStyle w:val="4"/>
        <w:tblW w:w="1547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4"/>
        <w:gridCol w:w="1075"/>
        <w:gridCol w:w="1115"/>
        <w:gridCol w:w="850"/>
        <w:gridCol w:w="1146"/>
        <w:gridCol w:w="816"/>
        <w:gridCol w:w="1276"/>
        <w:gridCol w:w="992"/>
        <w:gridCol w:w="1031"/>
        <w:gridCol w:w="1054"/>
        <w:gridCol w:w="1054"/>
        <w:gridCol w:w="881"/>
        <w:gridCol w:w="885"/>
        <w:gridCol w:w="817"/>
      </w:tblGrid>
      <w:tr w14:paraId="7F819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762" w:type="dxa"/>
            <w:gridSpan w:val="7"/>
            <w:tcBorders>
              <w:top w:val="single" w:color="FFFFFF" w:sz="6" w:space="0"/>
              <w:left w:val="single" w:color="FFFFFF" w:sz="6" w:space="0"/>
              <w:right w:val="single" w:color="FFFFFF" w:sz="6" w:space="0"/>
            </w:tcBorders>
            <w:vAlign w:val="center"/>
          </w:tcPr>
          <w:p w14:paraId="186CB629">
            <w:pPr>
              <w:spacing w:line="300" w:lineRule="exact"/>
              <w:jc w:val="left"/>
              <w:rPr>
                <w:rFonts w:hint="eastAsia" w:ascii="方正小标宋_GBK" w:eastAsia="方正小标宋_GBK"/>
                <w:sz w:val="24"/>
              </w:rPr>
            </w:pPr>
            <w:r>
              <w:rPr>
                <w:rFonts w:hint="eastAsia" w:ascii="方正小标宋_GBK" w:eastAsia="方正小标宋_GBK"/>
                <w:sz w:val="24"/>
              </w:rPr>
              <w:t>131 中国人民政治协商会议河北省阜平县委员会</w:t>
            </w:r>
          </w:p>
        </w:tc>
        <w:tc>
          <w:tcPr>
            <w:tcW w:w="6714" w:type="dxa"/>
            <w:gridSpan w:val="7"/>
            <w:tcBorders>
              <w:top w:val="single" w:color="FFFFFF" w:sz="6" w:space="0"/>
              <w:left w:val="single" w:color="FFFFFF" w:sz="6" w:space="0"/>
              <w:right w:val="single" w:color="FFFFFF" w:sz="6" w:space="0"/>
            </w:tcBorders>
            <w:vAlign w:val="center"/>
          </w:tcPr>
          <w:p w14:paraId="4DE5C999">
            <w:pPr>
              <w:spacing w:line="300" w:lineRule="exact"/>
              <w:jc w:val="right"/>
              <w:rPr>
                <w:rFonts w:ascii="方正书宋_GBK" w:eastAsia="方正书宋_GBK"/>
                <w:sz w:val="24"/>
              </w:rPr>
            </w:pPr>
            <w:r>
              <w:rPr>
                <w:rFonts w:hint="eastAsia" w:ascii="方正书宋_GBK" w:eastAsia="方正书宋_GBK"/>
                <w:sz w:val="24"/>
              </w:rPr>
              <w:t>单位：万元</w:t>
            </w:r>
          </w:p>
        </w:tc>
      </w:tr>
      <w:tr w14:paraId="36118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559" w:type="dxa"/>
            <w:gridSpan w:val="2"/>
            <w:vAlign w:val="center"/>
          </w:tcPr>
          <w:p w14:paraId="2378A6F6">
            <w:pPr>
              <w:spacing w:line="300" w:lineRule="exact"/>
              <w:jc w:val="center"/>
              <w:rPr>
                <w:rFonts w:ascii="方正书宋_GBK" w:eastAsia="方正书宋_GBK"/>
                <w:b/>
              </w:rPr>
            </w:pPr>
            <w:r>
              <w:rPr>
                <w:rFonts w:hint="eastAsia" w:ascii="方正书宋_GBK" w:eastAsia="方正书宋_GBK"/>
                <w:b/>
              </w:rPr>
              <w:t>政府采购项目来源</w:t>
            </w:r>
          </w:p>
        </w:tc>
        <w:tc>
          <w:tcPr>
            <w:tcW w:w="1115" w:type="dxa"/>
            <w:vMerge w:val="restart"/>
            <w:vAlign w:val="center"/>
          </w:tcPr>
          <w:p w14:paraId="063AE82B">
            <w:pPr>
              <w:spacing w:line="300" w:lineRule="exact"/>
              <w:jc w:val="center"/>
              <w:rPr>
                <w:rFonts w:ascii="方正书宋_GBK" w:eastAsia="方正书宋_GBK"/>
                <w:b/>
              </w:rPr>
            </w:pPr>
            <w:r>
              <w:rPr>
                <w:rFonts w:hint="eastAsia" w:ascii="方正书宋_GBK" w:eastAsia="方正书宋_GBK"/>
                <w:b/>
              </w:rPr>
              <w:t>采购物品名称</w:t>
            </w:r>
          </w:p>
        </w:tc>
        <w:tc>
          <w:tcPr>
            <w:tcW w:w="850" w:type="dxa"/>
            <w:vMerge w:val="restart"/>
            <w:vAlign w:val="center"/>
          </w:tcPr>
          <w:p w14:paraId="57E9F159">
            <w:pPr>
              <w:spacing w:line="300" w:lineRule="exact"/>
              <w:jc w:val="center"/>
              <w:rPr>
                <w:rFonts w:ascii="方正书宋_GBK" w:eastAsia="方正书宋_GBK"/>
                <w:b/>
              </w:rPr>
            </w:pPr>
            <w:r>
              <w:rPr>
                <w:rFonts w:hint="eastAsia" w:ascii="方正书宋_GBK" w:eastAsia="方正书宋_GBK"/>
                <w:b/>
              </w:rPr>
              <w:t>政府采购目录序号</w:t>
            </w:r>
          </w:p>
        </w:tc>
        <w:tc>
          <w:tcPr>
            <w:tcW w:w="1146" w:type="dxa"/>
            <w:vMerge w:val="restart"/>
            <w:vAlign w:val="center"/>
          </w:tcPr>
          <w:p w14:paraId="550A661E">
            <w:pPr>
              <w:spacing w:line="300" w:lineRule="exact"/>
              <w:jc w:val="center"/>
              <w:rPr>
                <w:rFonts w:ascii="方正书宋_GBK" w:eastAsia="方正书宋_GBK"/>
                <w:b/>
              </w:rPr>
            </w:pPr>
            <w:r>
              <w:rPr>
                <w:rFonts w:ascii="方正书宋_GBK" w:eastAsia="方正书宋_GBK"/>
                <w:b/>
              </w:rPr>
              <w:t xml:space="preserve"> </w:t>
            </w:r>
            <w:r>
              <w:rPr>
                <w:rFonts w:hint="eastAsia" w:ascii="方正书宋_GBK" w:eastAsia="方正书宋_GBK"/>
                <w:b/>
              </w:rPr>
              <w:t>单位</w:t>
            </w:r>
          </w:p>
        </w:tc>
        <w:tc>
          <w:tcPr>
            <w:tcW w:w="816" w:type="dxa"/>
            <w:vMerge w:val="restart"/>
            <w:vAlign w:val="center"/>
          </w:tcPr>
          <w:p w14:paraId="4E7316EE">
            <w:pPr>
              <w:spacing w:line="300" w:lineRule="exact"/>
              <w:jc w:val="center"/>
              <w:rPr>
                <w:rFonts w:ascii="方正书宋_GBK" w:eastAsia="方正书宋_GBK"/>
                <w:b/>
              </w:rPr>
            </w:pPr>
            <w:r>
              <w:rPr>
                <w:rFonts w:hint="eastAsia" w:ascii="方正书宋_GBK" w:eastAsia="方正书宋_GBK"/>
                <w:b/>
              </w:rPr>
              <w:t>数量</w:t>
            </w:r>
          </w:p>
        </w:tc>
        <w:tc>
          <w:tcPr>
            <w:tcW w:w="1276" w:type="dxa"/>
            <w:vMerge w:val="restart"/>
            <w:vAlign w:val="center"/>
          </w:tcPr>
          <w:p w14:paraId="7CEBC1F8">
            <w:pPr>
              <w:spacing w:line="300" w:lineRule="exact"/>
              <w:jc w:val="center"/>
              <w:rPr>
                <w:rFonts w:ascii="方正书宋_GBK" w:eastAsia="方正书宋_GBK"/>
                <w:b/>
              </w:rPr>
            </w:pPr>
            <w:r>
              <w:rPr>
                <w:rFonts w:hint="eastAsia" w:ascii="方正书宋_GBK" w:eastAsia="方正书宋_GBK"/>
                <w:b/>
              </w:rPr>
              <w:t>单价</w:t>
            </w:r>
          </w:p>
        </w:tc>
        <w:tc>
          <w:tcPr>
            <w:tcW w:w="6714" w:type="dxa"/>
            <w:gridSpan w:val="7"/>
            <w:vAlign w:val="center"/>
          </w:tcPr>
          <w:p w14:paraId="63A9DB21">
            <w:pPr>
              <w:spacing w:line="300" w:lineRule="exact"/>
              <w:jc w:val="center"/>
              <w:rPr>
                <w:rFonts w:ascii="方正书宋_GBK" w:eastAsia="方正书宋_GBK"/>
                <w:b/>
              </w:rPr>
            </w:pPr>
            <w:r>
              <w:rPr>
                <w:rFonts w:hint="eastAsia" w:ascii="方正书宋_GBK" w:eastAsia="方正书宋_GBK"/>
                <w:b/>
              </w:rPr>
              <w:t>政府采购金额</w:t>
            </w:r>
          </w:p>
        </w:tc>
      </w:tr>
      <w:tr w14:paraId="470FF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484" w:type="dxa"/>
            <w:vMerge w:val="restart"/>
            <w:vAlign w:val="center"/>
          </w:tcPr>
          <w:p w14:paraId="736C6CD9">
            <w:pPr>
              <w:spacing w:line="300" w:lineRule="exact"/>
              <w:jc w:val="center"/>
              <w:rPr>
                <w:rFonts w:ascii="方正书宋_GBK" w:eastAsia="方正书宋_GBK"/>
                <w:b/>
              </w:rPr>
            </w:pPr>
            <w:r>
              <w:rPr>
                <w:rFonts w:hint="eastAsia" w:ascii="方正书宋_GBK" w:eastAsia="方正书宋_GBK"/>
                <w:b/>
              </w:rPr>
              <w:t>项目名称</w:t>
            </w:r>
          </w:p>
        </w:tc>
        <w:tc>
          <w:tcPr>
            <w:tcW w:w="1075" w:type="dxa"/>
            <w:vMerge w:val="restart"/>
            <w:vAlign w:val="center"/>
          </w:tcPr>
          <w:p w14:paraId="2830FEF8">
            <w:pPr>
              <w:spacing w:line="300" w:lineRule="exact"/>
              <w:jc w:val="center"/>
              <w:rPr>
                <w:rFonts w:ascii="方正书宋_GBK" w:eastAsia="方正书宋_GBK"/>
                <w:b/>
              </w:rPr>
            </w:pPr>
            <w:r>
              <w:rPr>
                <w:rFonts w:hint="eastAsia" w:ascii="方正书宋_GBK" w:eastAsia="方正书宋_GBK"/>
                <w:b/>
              </w:rPr>
              <w:t>预算资金</w:t>
            </w:r>
          </w:p>
        </w:tc>
        <w:tc>
          <w:tcPr>
            <w:tcW w:w="1115" w:type="dxa"/>
            <w:vMerge w:val="continue"/>
            <w:vAlign w:val="center"/>
          </w:tcPr>
          <w:p w14:paraId="3C964F30">
            <w:pPr>
              <w:spacing w:line="300" w:lineRule="exact"/>
              <w:jc w:val="left"/>
              <w:outlineLvl w:val="0"/>
            </w:pPr>
          </w:p>
        </w:tc>
        <w:tc>
          <w:tcPr>
            <w:tcW w:w="850" w:type="dxa"/>
            <w:vMerge w:val="continue"/>
            <w:vAlign w:val="center"/>
          </w:tcPr>
          <w:p w14:paraId="364BD9FD">
            <w:pPr>
              <w:spacing w:line="300" w:lineRule="exact"/>
              <w:jc w:val="left"/>
              <w:outlineLvl w:val="0"/>
            </w:pPr>
          </w:p>
        </w:tc>
        <w:tc>
          <w:tcPr>
            <w:tcW w:w="1146" w:type="dxa"/>
            <w:vMerge w:val="continue"/>
            <w:vAlign w:val="center"/>
          </w:tcPr>
          <w:p w14:paraId="73853AE0">
            <w:pPr>
              <w:spacing w:line="300" w:lineRule="exact"/>
              <w:jc w:val="left"/>
              <w:outlineLvl w:val="0"/>
            </w:pPr>
          </w:p>
        </w:tc>
        <w:tc>
          <w:tcPr>
            <w:tcW w:w="816" w:type="dxa"/>
            <w:vMerge w:val="continue"/>
            <w:vAlign w:val="center"/>
          </w:tcPr>
          <w:p w14:paraId="599E49EC">
            <w:pPr>
              <w:spacing w:line="300" w:lineRule="exact"/>
              <w:jc w:val="left"/>
              <w:outlineLvl w:val="0"/>
            </w:pPr>
          </w:p>
        </w:tc>
        <w:tc>
          <w:tcPr>
            <w:tcW w:w="1276" w:type="dxa"/>
            <w:vMerge w:val="continue"/>
            <w:vAlign w:val="center"/>
          </w:tcPr>
          <w:p w14:paraId="76AD7CED">
            <w:pPr>
              <w:spacing w:line="300" w:lineRule="exact"/>
              <w:jc w:val="left"/>
              <w:outlineLvl w:val="0"/>
            </w:pPr>
          </w:p>
        </w:tc>
        <w:tc>
          <w:tcPr>
            <w:tcW w:w="992" w:type="dxa"/>
            <w:vMerge w:val="restart"/>
            <w:vAlign w:val="center"/>
          </w:tcPr>
          <w:p w14:paraId="3CEDF6E4">
            <w:pPr>
              <w:spacing w:line="300" w:lineRule="exact"/>
              <w:jc w:val="center"/>
              <w:rPr>
                <w:rFonts w:ascii="方正书宋_GBK" w:eastAsia="方正书宋_GBK"/>
                <w:b/>
              </w:rPr>
            </w:pPr>
            <w:r>
              <w:rPr>
                <w:rFonts w:hint="eastAsia" w:ascii="方正书宋_GBK" w:eastAsia="方正书宋_GBK"/>
                <w:b/>
              </w:rPr>
              <w:t>总计</w:t>
            </w:r>
          </w:p>
        </w:tc>
        <w:tc>
          <w:tcPr>
            <w:tcW w:w="4905" w:type="dxa"/>
            <w:gridSpan w:val="5"/>
            <w:vAlign w:val="center"/>
          </w:tcPr>
          <w:p w14:paraId="20756B66">
            <w:pPr>
              <w:spacing w:line="300" w:lineRule="exact"/>
              <w:jc w:val="center"/>
              <w:rPr>
                <w:rFonts w:ascii="方正书宋_GBK" w:eastAsia="方正书宋_GBK"/>
                <w:b/>
              </w:rPr>
            </w:pPr>
            <w:r>
              <w:rPr>
                <w:rFonts w:hint="eastAsia" w:ascii="方正书宋_GBK" w:eastAsia="方正书宋_GBK"/>
                <w:b/>
              </w:rPr>
              <w:t>当年部门预算安排资金</w:t>
            </w:r>
          </w:p>
        </w:tc>
        <w:tc>
          <w:tcPr>
            <w:tcW w:w="817" w:type="dxa"/>
            <w:vMerge w:val="restart"/>
            <w:vAlign w:val="center"/>
          </w:tcPr>
          <w:p w14:paraId="3D300A0E">
            <w:pPr>
              <w:spacing w:line="300" w:lineRule="exact"/>
              <w:jc w:val="center"/>
              <w:rPr>
                <w:rFonts w:ascii="方正书宋_GBK" w:eastAsia="方正书宋_GBK"/>
                <w:b/>
              </w:rPr>
            </w:pPr>
            <w:r>
              <w:rPr>
                <w:rFonts w:hint="eastAsia" w:ascii="方正书宋_GBK" w:eastAsia="方正书宋_GBK"/>
                <w:b/>
              </w:rPr>
              <w:t>其他渠道资金</w:t>
            </w:r>
          </w:p>
        </w:tc>
      </w:tr>
      <w:tr w14:paraId="29B14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484" w:type="dxa"/>
            <w:vMerge w:val="continue"/>
            <w:vAlign w:val="center"/>
          </w:tcPr>
          <w:p w14:paraId="6C713ED1">
            <w:pPr>
              <w:spacing w:line="300" w:lineRule="exact"/>
              <w:jc w:val="left"/>
              <w:outlineLvl w:val="0"/>
            </w:pPr>
          </w:p>
        </w:tc>
        <w:tc>
          <w:tcPr>
            <w:tcW w:w="1075" w:type="dxa"/>
            <w:vMerge w:val="continue"/>
            <w:vAlign w:val="center"/>
          </w:tcPr>
          <w:p w14:paraId="4B3AF505">
            <w:pPr>
              <w:spacing w:line="300" w:lineRule="exact"/>
              <w:jc w:val="left"/>
              <w:outlineLvl w:val="0"/>
            </w:pPr>
          </w:p>
        </w:tc>
        <w:tc>
          <w:tcPr>
            <w:tcW w:w="1115" w:type="dxa"/>
            <w:vMerge w:val="continue"/>
            <w:vAlign w:val="center"/>
          </w:tcPr>
          <w:p w14:paraId="226F3032">
            <w:pPr>
              <w:spacing w:line="300" w:lineRule="exact"/>
              <w:jc w:val="left"/>
              <w:outlineLvl w:val="0"/>
            </w:pPr>
          </w:p>
        </w:tc>
        <w:tc>
          <w:tcPr>
            <w:tcW w:w="850" w:type="dxa"/>
            <w:vMerge w:val="continue"/>
            <w:vAlign w:val="center"/>
          </w:tcPr>
          <w:p w14:paraId="33AB35DD">
            <w:pPr>
              <w:spacing w:line="300" w:lineRule="exact"/>
              <w:jc w:val="left"/>
              <w:outlineLvl w:val="0"/>
            </w:pPr>
          </w:p>
        </w:tc>
        <w:tc>
          <w:tcPr>
            <w:tcW w:w="1146" w:type="dxa"/>
            <w:vMerge w:val="continue"/>
            <w:vAlign w:val="center"/>
          </w:tcPr>
          <w:p w14:paraId="31EC4E7C">
            <w:pPr>
              <w:spacing w:line="300" w:lineRule="exact"/>
              <w:jc w:val="left"/>
              <w:outlineLvl w:val="0"/>
            </w:pPr>
          </w:p>
        </w:tc>
        <w:tc>
          <w:tcPr>
            <w:tcW w:w="816" w:type="dxa"/>
            <w:vMerge w:val="continue"/>
            <w:vAlign w:val="center"/>
          </w:tcPr>
          <w:p w14:paraId="4AF134D6">
            <w:pPr>
              <w:spacing w:line="300" w:lineRule="exact"/>
              <w:jc w:val="left"/>
              <w:outlineLvl w:val="0"/>
            </w:pPr>
          </w:p>
        </w:tc>
        <w:tc>
          <w:tcPr>
            <w:tcW w:w="1276" w:type="dxa"/>
            <w:vMerge w:val="continue"/>
            <w:vAlign w:val="center"/>
          </w:tcPr>
          <w:p w14:paraId="1C61861B">
            <w:pPr>
              <w:spacing w:line="300" w:lineRule="exact"/>
              <w:jc w:val="left"/>
              <w:outlineLvl w:val="0"/>
            </w:pPr>
          </w:p>
        </w:tc>
        <w:tc>
          <w:tcPr>
            <w:tcW w:w="992" w:type="dxa"/>
            <w:vMerge w:val="continue"/>
            <w:vAlign w:val="center"/>
          </w:tcPr>
          <w:p w14:paraId="52ABE3EC">
            <w:pPr>
              <w:spacing w:line="300" w:lineRule="exact"/>
              <w:jc w:val="left"/>
              <w:outlineLvl w:val="0"/>
            </w:pPr>
          </w:p>
        </w:tc>
        <w:tc>
          <w:tcPr>
            <w:tcW w:w="1031" w:type="dxa"/>
            <w:vAlign w:val="center"/>
          </w:tcPr>
          <w:p w14:paraId="57521CD4">
            <w:pPr>
              <w:spacing w:line="300" w:lineRule="exact"/>
              <w:jc w:val="center"/>
              <w:rPr>
                <w:rFonts w:ascii="方正书宋_GBK" w:eastAsia="方正书宋_GBK"/>
                <w:b/>
              </w:rPr>
            </w:pPr>
            <w:r>
              <w:rPr>
                <w:rFonts w:hint="eastAsia" w:ascii="方正书宋_GBK" w:eastAsia="方正书宋_GBK"/>
                <w:b/>
              </w:rPr>
              <w:t>合计</w:t>
            </w:r>
          </w:p>
        </w:tc>
        <w:tc>
          <w:tcPr>
            <w:tcW w:w="1054" w:type="dxa"/>
            <w:vAlign w:val="center"/>
          </w:tcPr>
          <w:p w14:paraId="3945A9D1">
            <w:pPr>
              <w:spacing w:line="300" w:lineRule="exact"/>
              <w:jc w:val="center"/>
              <w:rPr>
                <w:rFonts w:ascii="方正书宋_GBK" w:eastAsia="方正书宋_GBK"/>
                <w:b/>
              </w:rPr>
            </w:pPr>
            <w:r>
              <w:rPr>
                <w:rFonts w:hint="eastAsia" w:ascii="方正书宋_GBK" w:eastAsia="方正书宋_GBK"/>
                <w:b/>
              </w:rPr>
              <w:t>一般公共预算拨款</w:t>
            </w:r>
          </w:p>
        </w:tc>
        <w:tc>
          <w:tcPr>
            <w:tcW w:w="1054" w:type="dxa"/>
            <w:vAlign w:val="center"/>
          </w:tcPr>
          <w:p w14:paraId="7DE37DB5">
            <w:pPr>
              <w:spacing w:line="300" w:lineRule="exact"/>
              <w:jc w:val="center"/>
              <w:rPr>
                <w:rFonts w:ascii="方正书宋_GBK" w:eastAsia="方正书宋_GBK"/>
                <w:b/>
              </w:rPr>
            </w:pPr>
            <w:r>
              <w:rPr>
                <w:rFonts w:hint="eastAsia" w:ascii="方正书宋_GBK" w:eastAsia="方正书宋_GBK"/>
                <w:b/>
              </w:rPr>
              <w:t>基金预算拨款</w:t>
            </w:r>
          </w:p>
        </w:tc>
        <w:tc>
          <w:tcPr>
            <w:tcW w:w="881" w:type="dxa"/>
            <w:vAlign w:val="center"/>
          </w:tcPr>
          <w:p w14:paraId="3AA8E29D">
            <w:pPr>
              <w:spacing w:line="300" w:lineRule="exact"/>
              <w:jc w:val="center"/>
              <w:rPr>
                <w:rFonts w:ascii="方正书宋_GBK" w:eastAsia="方正书宋_GBK"/>
                <w:b/>
              </w:rPr>
            </w:pPr>
            <w:r>
              <w:rPr>
                <w:rFonts w:hint="eastAsia" w:ascii="方正书宋_GBK" w:eastAsia="方正书宋_GBK"/>
                <w:b/>
              </w:rPr>
              <w:t>财政专户核拨</w:t>
            </w:r>
          </w:p>
        </w:tc>
        <w:tc>
          <w:tcPr>
            <w:tcW w:w="885" w:type="dxa"/>
            <w:vAlign w:val="center"/>
          </w:tcPr>
          <w:p w14:paraId="5D5DE0E2">
            <w:pPr>
              <w:spacing w:line="300" w:lineRule="exact"/>
              <w:jc w:val="center"/>
              <w:rPr>
                <w:rFonts w:ascii="方正书宋_GBK" w:eastAsia="方正书宋_GBK"/>
                <w:b/>
              </w:rPr>
            </w:pPr>
            <w:r>
              <w:rPr>
                <w:rFonts w:hint="eastAsia" w:ascii="方正书宋_GBK" w:eastAsia="方正书宋_GBK"/>
                <w:b/>
              </w:rPr>
              <w:t>其他来源收入</w:t>
            </w:r>
          </w:p>
        </w:tc>
        <w:tc>
          <w:tcPr>
            <w:tcW w:w="817" w:type="dxa"/>
            <w:vMerge w:val="continue"/>
            <w:vAlign w:val="center"/>
          </w:tcPr>
          <w:p w14:paraId="62679DF1">
            <w:pPr>
              <w:spacing w:line="300" w:lineRule="exact"/>
              <w:jc w:val="left"/>
              <w:outlineLvl w:val="0"/>
            </w:pPr>
          </w:p>
        </w:tc>
      </w:tr>
      <w:tr w14:paraId="6927C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7D6E4BB3">
            <w:pPr>
              <w:spacing w:line="300" w:lineRule="exact"/>
              <w:jc w:val="center"/>
              <w:rPr>
                <w:rFonts w:ascii="方正书宋_GBK" w:eastAsia="方正书宋_GBK"/>
                <w:b/>
              </w:rPr>
            </w:pPr>
            <w:r>
              <w:rPr>
                <w:rFonts w:hint="eastAsia" w:ascii="方正书宋_GBK" w:eastAsia="方正书宋_GBK"/>
                <w:b/>
              </w:rPr>
              <w:t>小计</w:t>
            </w:r>
          </w:p>
        </w:tc>
        <w:tc>
          <w:tcPr>
            <w:tcW w:w="1075" w:type="dxa"/>
            <w:vAlign w:val="center"/>
          </w:tcPr>
          <w:p w14:paraId="57A1F3A7">
            <w:pPr>
              <w:wordWrap w:val="0"/>
              <w:spacing w:line="300" w:lineRule="exact"/>
              <w:jc w:val="right"/>
              <w:rPr>
                <w:rFonts w:hint="eastAsia" w:ascii="方正书宋_GBK" w:eastAsia="方正书宋_GBK"/>
                <w:b/>
                <w:lang w:eastAsia="zh-CN"/>
              </w:rPr>
            </w:pPr>
            <w:r>
              <w:rPr>
                <w:rFonts w:hint="eastAsia" w:ascii="方正书宋_GBK" w:eastAsia="方正书宋_GBK"/>
                <w:b/>
                <w:lang w:val="en-US" w:eastAsia="zh-CN"/>
              </w:rPr>
              <w:t xml:space="preserve"> </w:t>
            </w:r>
          </w:p>
        </w:tc>
        <w:tc>
          <w:tcPr>
            <w:tcW w:w="1115" w:type="dxa"/>
            <w:vAlign w:val="center"/>
          </w:tcPr>
          <w:p w14:paraId="6F059945">
            <w:pPr>
              <w:spacing w:line="300" w:lineRule="exact"/>
              <w:jc w:val="left"/>
              <w:rPr>
                <w:rFonts w:ascii="方正书宋_GBK" w:eastAsia="方正书宋_GBK"/>
                <w:b/>
              </w:rPr>
            </w:pPr>
          </w:p>
        </w:tc>
        <w:tc>
          <w:tcPr>
            <w:tcW w:w="850" w:type="dxa"/>
            <w:vAlign w:val="center"/>
          </w:tcPr>
          <w:p w14:paraId="569E2115">
            <w:pPr>
              <w:spacing w:line="300" w:lineRule="exact"/>
              <w:jc w:val="left"/>
              <w:rPr>
                <w:rFonts w:ascii="方正书宋_GBK" w:eastAsia="方正书宋_GBK"/>
                <w:b/>
              </w:rPr>
            </w:pPr>
          </w:p>
        </w:tc>
        <w:tc>
          <w:tcPr>
            <w:tcW w:w="1146" w:type="dxa"/>
            <w:vAlign w:val="center"/>
          </w:tcPr>
          <w:p w14:paraId="555794F7">
            <w:pPr>
              <w:spacing w:line="300" w:lineRule="exact"/>
              <w:jc w:val="left"/>
              <w:rPr>
                <w:rFonts w:ascii="方正书宋_GBK" w:eastAsia="方正书宋_GBK"/>
                <w:b/>
              </w:rPr>
            </w:pPr>
          </w:p>
        </w:tc>
        <w:tc>
          <w:tcPr>
            <w:tcW w:w="816" w:type="dxa"/>
            <w:vAlign w:val="center"/>
          </w:tcPr>
          <w:p w14:paraId="157CB8F1">
            <w:pPr>
              <w:spacing w:line="300" w:lineRule="exact"/>
              <w:jc w:val="right"/>
              <w:rPr>
                <w:rFonts w:ascii="方正书宋_GBK" w:eastAsia="方正书宋_GBK"/>
                <w:b/>
              </w:rPr>
            </w:pPr>
          </w:p>
        </w:tc>
        <w:tc>
          <w:tcPr>
            <w:tcW w:w="1276" w:type="dxa"/>
            <w:vAlign w:val="center"/>
          </w:tcPr>
          <w:p w14:paraId="5B2C9135">
            <w:pPr>
              <w:spacing w:line="300" w:lineRule="exact"/>
              <w:jc w:val="right"/>
              <w:rPr>
                <w:rFonts w:ascii="方正书宋_GBK" w:eastAsia="方正书宋_GBK"/>
                <w:b/>
              </w:rPr>
            </w:pPr>
          </w:p>
        </w:tc>
        <w:tc>
          <w:tcPr>
            <w:tcW w:w="992" w:type="dxa"/>
            <w:vAlign w:val="center"/>
          </w:tcPr>
          <w:p w14:paraId="732BDC26">
            <w:pPr>
              <w:spacing w:line="300" w:lineRule="exact"/>
              <w:jc w:val="right"/>
              <w:rPr>
                <w:rFonts w:hint="eastAsia" w:ascii="方正书宋_GBK" w:eastAsia="方正书宋_GBK"/>
                <w:b/>
              </w:rPr>
            </w:pPr>
            <w:r>
              <w:rPr>
                <w:rFonts w:hint="eastAsia" w:ascii="方正书宋_GBK" w:eastAsia="方正书宋_GBK"/>
                <w:b/>
              </w:rPr>
              <w:t>5.07</w:t>
            </w:r>
          </w:p>
        </w:tc>
        <w:tc>
          <w:tcPr>
            <w:tcW w:w="1031" w:type="dxa"/>
            <w:vAlign w:val="center"/>
          </w:tcPr>
          <w:p w14:paraId="5FEEE6E0">
            <w:pPr>
              <w:spacing w:line="300" w:lineRule="exact"/>
              <w:rPr>
                <w:rFonts w:hint="eastAsia" w:ascii="方正书宋_GBK" w:eastAsia="方正书宋_GBK"/>
                <w:b/>
              </w:rPr>
            </w:pPr>
            <w:r>
              <w:rPr>
                <w:rFonts w:hint="eastAsia" w:ascii="方正书宋_GBK" w:eastAsia="方正书宋_GBK"/>
                <w:b/>
              </w:rPr>
              <w:t>5.07</w:t>
            </w:r>
          </w:p>
        </w:tc>
        <w:tc>
          <w:tcPr>
            <w:tcW w:w="1054" w:type="dxa"/>
            <w:vAlign w:val="center"/>
          </w:tcPr>
          <w:p w14:paraId="68BCDD17">
            <w:pPr>
              <w:spacing w:line="300" w:lineRule="exact"/>
              <w:jc w:val="center"/>
              <w:rPr>
                <w:rFonts w:hint="eastAsia" w:ascii="方正书宋_GBK" w:eastAsia="方正书宋_GBK"/>
                <w:b/>
              </w:rPr>
            </w:pPr>
            <w:r>
              <w:rPr>
                <w:rFonts w:hint="eastAsia" w:ascii="方正书宋_GBK" w:eastAsia="方正书宋_GBK"/>
                <w:b/>
              </w:rPr>
              <w:t>5.07</w:t>
            </w:r>
          </w:p>
        </w:tc>
        <w:tc>
          <w:tcPr>
            <w:tcW w:w="1054" w:type="dxa"/>
            <w:vAlign w:val="center"/>
          </w:tcPr>
          <w:p w14:paraId="76DA431A">
            <w:pPr>
              <w:spacing w:line="300" w:lineRule="exact"/>
              <w:jc w:val="right"/>
              <w:rPr>
                <w:rFonts w:ascii="方正书宋_GBK" w:eastAsia="方正书宋_GBK"/>
                <w:b/>
              </w:rPr>
            </w:pPr>
          </w:p>
        </w:tc>
        <w:tc>
          <w:tcPr>
            <w:tcW w:w="881" w:type="dxa"/>
            <w:vAlign w:val="center"/>
          </w:tcPr>
          <w:p w14:paraId="39E8D1D6">
            <w:pPr>
              <w:spacing w:line="300" w:lineRule="exact"/>
              <w:jc w:val="right"/>
              <w:rPr>
                <w:rFonts w:ascii="方正书宋_GBK" w:eastAsia="方正书宋_GBK"/>
                <w:b/>
              </w:rPr>
            </w:pPr>
          </w:p>
        </w:tc>
        <w:tc>
          <w:tcPr>
            <w:tcW w:w="885" w:type="dxa"/>
            <w:vAlign w:val="center"/>
          </w:tcPr>
          <w:p w14:paraId="3764BBC7">
            <w:pPr>
              <w:spacing w:line="300" w:lineRule="exact"/>
              <w:jc w:val="right"/>
              <w:rPr>
                <w:rFonts w:ascii="方正书宋_GBK" w:eastAsia="方正书宋_GBK"/>
                <w:b/>
              </w:rPr>
            </w:pPr>
          </w:p>
        </w:tc>
        <w:tc>
          <w:tcPr>
            <w:tcW w:w="817" w:type="dxa"/>
            <w:vAlign w:val="center"/>
          </w:tcPr>
          <w:p w14:paraId="7CD001CA">
            <w:pPr>
              <w:spacing w:line="300" w:lineRule="exact"/>
              <w:jc w:val="right"/>
              <w:rPr>
                <w:rFonts w:ascii="方正书宋_GBK" w:eastAsia="方正书宋_GBK"/>
                <w:b/>
              </w:rPr>
            </w:pPr>
          </w:p>
        </w:tc>
      </w:tr>
      <w:tr w14:paraId="6F0AD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3E9D6381">
            <w:pPr>
              <w:spacing w:line="300" w:lineRule="exact"/>
              <w:jc w:val="left"/>
              <w:rPr>
                <w:rFonts w:hint="eastAsia" w:ascii="方正书宋_GBK" w:eastAsia="方正小标宋_GBK"/>
              </w:rPr>
            </w:pPr>
            <w:r>
              <w:rPr>
                <w:rFonts w:hint="eastAsia" w:ascii="方正书宋_GBK" w:eastAsia="方正小标宋_GBK"/>
              </w:rPr>
              <w:t>政协会议</w:t>
            </w:r>
          </w:p>
        </w:tc>
        <w:tc>
          <w:tcPr>
            <w:tcW w:w="1075" w:type="dxa"/>
            <w:vAlign w:val="center"/>
          </w:tcPr>
          <w:p w14:paraId="4B2BECE4">
            <w:pPr>
              <w:widowControl/>
              <w:jc w:val="right"/>
              <w:textAlignment w:val="center"/>
              <w:rPr>
                <w:rFonts w:hint="eastAsia" w:ascii="方正书宋_GBK" w:eastAsia="方正书宋_GBK"/>
              </w:rPr>
            </w:pPr>
            <w:r>
              <w:rPr>
                <w:rFonts w:hint="eastAsia" w:ascii="宋体" w:hAnsi="宋体" w:eastAsia="方正书宋_GBK" w:cs="宋体"/>
                <w:kern w:val="0"/>
                <w:sz w:val="18"/>
                <w:szCs w:val="18"/>
              </w:rPr>
              <w:t>3.37</w:t>
            </w:r>
          </w:p>
        </w:tc>
        <w:tc>
          <w:tcPr>
            <w:tcW w:w="1115" w:type="dxa"/>
            <w:vAlign w:val="center"/>
          </w:tcPr>
          <w:p w14:paraId="39F3C6D0">
            <w:pPr>
              <w:spacing w:line="300" w:lineRule="exact"/>
              <w:jc w:val="left"/>
              <w:rPr>
                <w:rFonts w:hint="eastAsia" w:ascii="方正书宋_GBK" w:eastAsia="方正书宋_GBK"/>
              </w:rPr>
            </w:pPr>
            <w:r>
              <w:rPr>
                <w:rFonts w:hint="eastAsia" w:ascii="方正书宋_GBK" w:eastAsia="方正书宋_GBK"/>
              </w:rPr>
              <w:t>办公消耗用品及类似物品</w:t>
            </w:r>
          </w:p>
        </w:tc>
        <w:tc>
          <w:tcPr>
            <w:tcW w:w="850" w:type="dxa"/>
            <w:vAlign w:val="center"/>
          </w:tcPr>
          <w:p w14:paraId="39527276">
            <w:pPr>
              <w:spacing w:line="300" w:lineRule="exact"/>
              <w:jc w:val="left"/>
              <w:rPr>
                <w:rFonts w:hint="eastAsia" w:ascii="方正书宋_GBK" w:eastAsia="方正书宋_GBK"/>
              </w:rPr>
            </w:pPr>
            <w:r>
              <w:rPr>
                <w:rFonts w:hint="eastAsia" w:ascii="方正书宋_GBK" w:eastAsia="方正书宋_GBK"/>
                <w:szCs w:val="21"/>
              </w:rPr>
              <w:t>A09</w:t>
            </w:r>
          </w:p>
        </w:tc>
        <w:tc>
          <w:tcPr>
            <w:tcW w:w="1146" w:type="dxa"/>
            <w:vAlign w:val="center"/>
          </w:tcPr>
          <w:p w14:paraId="628A4810">
            <w:pPr>
              <w:spacing w:line="300" w:lineRule="exact"/>
              <w:jc w:val="left"/>
              <w:rPr>
                <w:rFonts w:hint="eastAsia" w:ascii="方正书宋_GBK" w:eastAsia="方正书宋_GBK"/>
              </w:rPr>
            </w:pPr>
            <w:r>
              <w:rPr>
                <w:rFonts w:hint="eastAsia" w:ascii="方正书宋_GBK" w:eastAsia="方正书宋_GBK"/>
              </w:rPr>
              <w:t>批</w:t>
            </w:r>
          </w:p>
        </w:tc>
        <w:tc>
          <w:tcPr>
            <w:tcW w:w="816" w:type="dxa"/>
            <w:vAlign w:val="center"/>
          </w:tcPr>
          <w:p w14:paraId="08CEB89D">
            <w:pPr>
              <w:spacing w:line="300" w:lineRule="exact"/>
              <w:jc w:val="right"/>
              <w:rPr>
                <w:rFonts w:ascii="方正书宋_GBK" w:eastAsia="方正书宋_GBK"/>
              </w:rPr>
            </w:pPr>
            <w:r>
              <w:rPr>
                <w:rFonts w:ascii="方正书宋_GBK" w:eastAsia="方正书宋_GBK"/>
              </w:rPr>
              <w:t>1</w:t>
            </w:r>
          </w:p>
        </w:tc>
        <w:tc>
          <w:tcPr>
            <w:tcW w:w="1276" w:type="dxa"/>
            <w:vAlign w:val="center"/>
          </w:tcPr>
          <w:p w14:paraId="3AD4275E">
            <w:pPr>
              <w:widowControl/>
              <w:jc w:val="right"/>
              <w:textAlignment w:val="center"/>
              <w:rPr>
                <w:rFonts w:hint="eastAsia" w:ascii="方正书宋_GBK" w:eastAsia="方正书宋_GBK"/>
              </w:rPr>
            </w:pPr>
            <w:r>
              <w:rPr>
                <w:rFonts w:hint="eastAsia" w:ascii="宋体" w:hAnsi="宋体" w:eastAsia="方正书宋_GBK" w:cs="宋体"/>
                <w:kern w:val="0"/>
                <w:sz w:val="18"/>
                <w:szCs w:val="18"/>
              </w:rPr>
              <w:t>3.37</w:t>
            </w:r>
          </w:p>
        </w:tc>
        <w:tc>
          <w:tcPr>
            <w:tcW w:w="992" w:type="dxa"/>
            <w:vAlign w:val="center"/>
          </w:tcPr>
          <w:p w14:paraId="39F25E36">
            <w:pPr>
              <w:widowControl/>
              <w:jc w:val="right"/>
              <w:textAlignment w:val="center"/>
              <w:rPr>
                <w:rFonts w:hint="eastAsia" w:ascii="方正书宋_GBK" w:eastAsia="方正书宋_GBK"/>
              </w:rPr>
            </w:pPr>
            <w:r>
              <w:rPr>
                <w:rFonts w:hint="eastAsia" w:ascii="宋体" w:hAnsi="宋体" w:eastAsia="方正书宋_GBK" w:cs="宋体"/>
                <w:kern w:val="0"/>
                <w:sz w:val="18"/>
                <w:szCs w:val="18"/>
              </w:rPr>
              <w:t>3.37</w:t>
            </w:r>
          </w:p>
        </w:tc>
        <w:tc>
          <w:tcPr>
            <w:tcW w:w="1031" w:type="dxa"/>
            <w:vAlign w:val="center"/>
          </w:tcPr>
          <w:p w14:paraId="0B1734B2">
            <w:pPr>
              <w:widowControl/>
              <w:jc w:val="right"/>
              <w:textAlignment w:val="center"/>
              <w:rPr>
                <w:rFonts w:hint="eastAsia" w:ascii="方正书宋_GBK" w:eastAsia="方正书宋_GBK"/>
              </w:rPr>
            </w:pPr>
            <w:r>
              <w:rPr>
                <w:rFonts w:hint="eastAsia" w:ascii="宋体" w:hAnsi="宋体" w:eastAsia="方正书宋_GBK" w:cs="宋体"/>
                <w:kern w:val="0"/>
                <w:sz w:val="18"/>
                <w:szCs w:val="18"/>
              </w:rPr>
              <w:t>3.37</w:t>
            </w:r>
          </w:p>
        </w:tc>
        <w:tc>
          <w:tcPr>
            <w:tcW w:w="1054" w:type="dxa"/>
            <w:vAlign w:val="center"/>
          </w:tcPr>
          <w:p w14:paraId="1FDB454B">
            <w:pPr>
              <w:widowControl/>
              <w:jc w:val="right"/>
              <w:textAlignment w:val="center"/>
              <w:rPr>
                <w:rFonts w:hint="eastAsia" w:ascii="方正书宋_GBK" w:eastAsia="方正书宋_GBK"/>
              </w:rPr>
            </w:pPr>
            <w:r>
              <w:rPr>
                <w:rFonts w:hint="eastAsia" w:ascii="宋体" w:hAnsi="宋体" w:eastAsia="方正书宋_GBK" w:cs="宋体"/>
                <w:kern w:val="0"/>
                <w:sz w:val="18"/>
                <w:szCs w:val="18"/>
              </w:rPr>
              <w:t>3.37</w:t>
            </w:r>
          </w:p>
        </w:tc>
        <w:tc>
          <w:tcPr>
            <w:tcW w:w="1054" w:type="dxa"/>
            <w:vAlign w:val="center"/>
          </w:tcPr>
          <w:p w14:paraId="527A44CF">
            <w:pPr>
              <w:spacing w:line="300" w:lineRule="exact"/>
              <w:jc w:val="right"/>
              <w:rPr>
                <w:rFonts w:ascii="方正书宋_GBK" w:eastAsia="方正书宋_GBK"/>
              </w:rPr>
            </w:pPr>
          </w:p>
        </w:tc>
        <w:tc>
          <w:tcPr>
            <w:tcW w:w="881" w:type="dxa"/>
            <w:vAlign w:val="center"/>
          </w:tcPr>
          <w:p w14:paraId="5D39FEC4">
            <w:pPr>
              <w:spacing w:line="300" w:lineRule="exact"/>
              <w:jc w:val="right"/>
              <w:rPr>
                <w:rFonts w:ascii="方正书宋_GBK" w:eastAsia="方正书宋_GBK"/>
              </w:rPr>
            </w:pPr>
          </w:p>
        </w:tc>
        <w:tc>
          <w:tcPr>
            <w:tcW w:w="885" w:type="dxa"/>
            <w:vAlign w:val="center"/>
          </w:tcPr>
          <w:p w14:paraId="722737BC">
            <w:pPr>
              <w:spacing w:line="300" w:lineRule="exact"/>
              <w:jc w:val="right"/>
              <w:rPr>
                <w:rFonts w:ascii="方正书宋_GBK" w:eastAsia="方正书宋_GBK"/>
              </w:rPr>
            </w:pPr>
          </w:p>
        </w:tc>
        <w:tc>
          <w:tcPr>
            <w:tcW w:w="817" w:type="dxa"/>
            <w:vAlign w:val="center"/>
          </w:tcPr>
          <w:p w14:paraId="053B320A">
            <w:pPr>
              <w:spacing w:line="300" w:lineRule="exact"/>
              <w:jc w:val="right"/>
              <w:rPr>
                <w:rFonts w:ascii="方正书宋_GBK" w:eastAsia="方正书宋_GBK"/>
              </w:rPr>
            </w:pPr>
          </w:p>
        </w:tc>
      </w:tr>
      <w:tr w14:paraId="50AF8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9" w:hRule="atLeast"/>
          <w:jc w:val="center"/>
        </w:trPr>
        <w:tc>
          <w:tcPr>
            <w:tcW w:w="2484" w:type="dxa"/>
            <w:vAlign w:val="center"/>
          </w:tcPr>
          <w:p w14:paraId="525B338E">
            <w:pPr>
              <w:spacing w:line="300" w:lineRule="exact"/>
              <w:jc w:val="left"/>
              <w:rPr>
                <w:rFonts w:hint="eastAsia" w:ascii="方正书宋_GBK" w:eastAsia="方正书宋_GBK"/>
              </w:rPr>
            </w:pPr>
            <w:r>
              <w:rPr>
                <w:rFonts w:hint="eastAsia" w:ascii="方正书宋_GBK" w:eastAsia="方正书宋_GBK"/>
              </w:rPr>
              <w:t>委员视察</w:t>
            </w:r>
          </w:p>
        </w:tc>
        <w:tc>
          <w:tcPr>
            <w:tcW w:w="1075" w:type="dxa"/>
            <w:vAlign w:val="center"/>
          </w:tcPr>
          <w:p w14:paraId="5DD5A540">
            <w:pPr>
              <w:widowControl/>
              <w:jc w:val="right"/>
              <w:textAlignment w:val="center"/>
              <w:rPr>
                <w:rFonts w:hint="eastAsia" w:ascii="方正书宋_GBK" w:eastAsia="方正书宋_GBK"/>
              </w:rPr>
            </w:pPr>
            <w:r>
              <w:rPr>
                <w:rFonts w:hint="eastAsia" w:ascii="宋体" w:hAnsi="宋体" w:eastAsia="方正书宋_GBK" w:cs="宋体"/>
                <w:kern w:val="0"/>
                <w:sz w:val="18"/>
                <w:szCs w:val="18"/>
              </w:rPr>
              <w:t>0.7</w:t>
            </w:r>
          </w:p>
        </w:tc>
        <w:tc>
          <w:tcPr>
            <w:tcW w:w="1115" w:type="dxa"/>
            <w:vAlign w:val="center"/>
          </w:tcPr>
          <w:p w14:paraId="652FF2EA">
            <w:pPr>
              <w:spacing w:line="300" w:lineRule="exact"/>
              <w:jc w:val="left"/>
              <w:rPr>
                <w:rFonts w:hint="eastAsia" w:ascii="方正书宋_GBK" w:eastAsia="方正书宋_GBK"/>
              </w:rPr>
            </w:pPr>
            <w:r>
              <w:rPr>
                <w:rFonts w:hint="eastAsia" w:ascii="方正书宋_GBK" w:eastAsia="方正书宋_GBK"/>
              </w:rPr>
              <w:t>办公消耗用品及类似物品</w:t>
            </w:r>
          </w:p>
        </w:tc>
        <w:tc>
          <w:tcPr>
            <w:tcW w:w="850" w:type="dxa"/>
            <w:vAlign w:val="center"/>
          </w:tcPr>
          <w:p w14:paraId="21B46B2F">
            <w:pPr>
              <w:spacing w:line="300" w:lineRule="exact"/>
              <w:jc w:val="left"/>
              <w:rPr>
                <w:rFonts w:hint="eastAsia" w:ascii="方正书宋_GBK" w:eastAsia="方正书宋_GBK"/>
              </w:rPr>
            </w:pPr>
            <w:r>
              <w:rPr>
                <w:rFonts w:hint="eastAsia" w:ascii="方正书宋_GBK" w:eastAsia="方正书宋_GBK"/>
              </w:rPr>
              <w:t>A09</w:t>
            </w:r>
          </w:p>
        </w:tc>
        <w:tc>
          <w:tcPr>
            <w:tcW w:w="1146" w:type="dxa"/>
            <w:vAlign w:val="center"/>
          </w:tcPr>
          <w:p w14:paraId="309F0E51">
            <w:pPr>
              <w:spacing w:line="300" w:lineRule="exact"/>
              <w:jc w:val="left"/>
              <w:rPr>
                <w:rFonts w:hint="eastAsia" w:ascii="方正书宋_GBK" w:eastAsia="方正书宋_GBK"/>
              </w:rPr>
            </w:pPr>
            <w:r>
              <w:rPr>
                <w:rFonts w:hint="eastAsia" w:ascii="方正书宋_GBK" w:eastAsia="方正书宋_GBK"/>
              </w:rPr>
              <w:t>批</w:t>
            </w:r>
          </w:p>
        </w:tc>
        <w:tc>
          <w:tcPr>
            <w:tcW w:w="816" w:type="dxa"/>
            <w:vAlign w:val="center"/>
          </w:tcPr>
          <w:p w14:paraId="32CE5072">
            <w:pPr>
              <w:spacing w:line="300" w:lineRule="exact"/>
              <w:jc w:val="right"/>
              <w:rPr>
                <w:rFonts w:hint="eastAsia" w:ascii="方正书宋_GBK" w:eastAsia="方正书宋_GBK"/>
              </w:rPr>
            </w:pPr>
            <w:r>
              <w:rPr>
                <w:rFonts w:hint="eastAsia" w:ascii="方正书宋_GBK" w:eastAsia="方正书宋_GBK"/>
              </w:rPr>
              <w:t>1</w:t>
            </w:r>
          </w:p>
        </w:tc>
        <w:tc>
          <w:tcPr>
            <w:tcW w:w="1276" w:type="dxa"/>
            <w:vAlign w:val="center"/>
          </w:tcPr>
          <w:p w14:paraId="061C1BC6">
            <w:pPr>
              <w:widowControl/>
              <w:jc w:val="right"/>
              <w:textAlignment w:val="center"/>
              <w:rPr>
                <w:rFonts w:hint="eastAsia" w:ascii="方正书宋_GBK" w:eastAsia="方正书宋_GBK"/>
              </w:rPr>
            </w:pPr>
            <w:r>
              <w:rPr>
                <w:rFonts w:hint="eastAsia" w:ascii="宋体" w:hAnsi="宋体" w:eastAsia="方正书宋_GBK" w:cs="宋体"/>
                <w:kern w:val="0"/>
                <w:sz w:val="18"/>
                <w:szCs w:val="18"/>
              </w:rPr>
              <w:t>0.7</w:t>
            </w:r>
          </w:p>
        </w:tc>
        <w:tc>
          <w:tcPr>
            <w:tcW w:w="992" w:type="dxa"/>
            <w:vAlign w:val="center"/>
          </w:tcPr>
          <w:p w14:paraId="189577D8">
            <w:pPr>
              <w:widowControl/>
              <w:jc w:val="right"/>
              <w:textAlignment w:val="center"/>
              <w:rPr>
                <w:rFonts w:ascii="方正书宋_GBK" w:eastAsia="方正书宋_GBK"/>
              </w:rPr>
            </w:pPr>
            <w:r>
              <w:rPr>
                <w:rFonts w:hint="eastAsia" w:ascii="宋体" w:hAnsi="宋体" w:eastAsia="方正书宋_GBK" w:cs="宋体"/>
                <w:kern w:val="0"/>
                <w:sz w:val="18"/>
                <w:szCs w:val="18"/>
              </w:rPr>
              <w:t>0.7</w:t>
            </w:r>
          </w:p>
        </w:tc>
        <w:tc>
          <w:tcPr>
            <w:tcW w:w="1031" w:type="dxa"/>
            <w:vAlign w:val="center"/>
          </w:tcPr>
          <w:p w14:paraId="4E8C1CEB">
            <w:pPr>
              <w:widowControl/>
              <w:jc w:val="right"/>
              <w:textAlignment w:val="center"/>
              <w:rPr>
                <w:rFonts w:ascii="方正书宋_GBK" w:eastAsia="方正书宋_GBK"/>
              </w:rPr>
            </w:pPr>
            <w:r>
              <w:rPr>
                <w:rFonts w:hint="eastAsia" w:ascii="宋体" w:hAnsi="宋体" w:eastAsia="方正书宋_GBK" w:cs="宋体"/>
                <w:kern w:val="0"/>
                <w:sz w:val="18"/>
                <w:szCs w:val="18"/>
              </w:rPr>
              <w:t>0.7</w:t>
            </w:r>
          </w:p>
        </w:tc>
        <w:tc>
          <w:tcPr>
            <w:tcW w:w="1054" w:type="dxa"/>
            <w:vAlign w:val="center"/>
          </w:tcPr>
          <w:p w14:paraId="169CCB15">
            <w:pPr>
              <w:widowControl/>
              <w:jc w:val="right"/>
              <w:textAlignment w:val="center"/>
              <w:rPr>
                <w:rFonts w:ascii="方正书宋_GBK" w:eastAsia="方正书宋_GBK"/>
              </w:rPr>
            </w:pPr>
            <w:r>
              <w:rPr>
                <w:rFonts w:hint="eastAsia" w:ascii="宋体" w:hAnsi="宋体" w:eastAsia="方正书宋_GBK" w:cs="宋体"/>
                <w:kern w:val="0"/>
                <w:sz w:val="18"/>
                <w:szCs w:val="18"/>
              </w:rPr>
              <w:t>0.7</w:t>
            </w:r>
          </w:p>
        </w:tc>
        <w:tc>
          <w:tcPr>
            <w:tcW w:w="1054" w:type="dxa"/>
            <w:vAlign w:val="center"/>
          </w:tcPr>
          <w:p w14:paraId="2CAB474E">
            <w:pPr>
              <w:spacing w:line="300" w:lineRule="exact"/>
              <w:jc w:val="right"/>
              <w:rPr>
                <w:rFonts w:ascii="方正书宋_GBK" w:eastAsia="方正书宋_GBK"/>
              </w:rPr>
            </w:pPr>
          </w:p>
        </w:tc>
        <w:tc>
          <w:tcPr>
            <w:tcW w:w="881" w:type="dxa"/>
            <w:vAlign w:val="center"/>
          </w:tcPr>
          <w:p w14:paraId="285F15DE">
            <w:pPr>
              <w:spacing w:line="300" w:lineRule="exact"/>
              <w:jc w:val="right"/>
              <w:rPr>
                <w:rFonts w:ascii="方正书宋_GBK" w:eastAsia="方正书宋_GBK"/>
              </w:rPr>
            </w:pPr>
          </w:p>
        </w:tc>
        <w:tc>
          <w:tcPr>
            <w:tcW w:w="885" w:type="dxa"/>
            <w:vAlign w:val="center"/>
          </w:tcPr>
          <w:p w14:paraId="046F0FF9">
            <w:pPr>
              <w:spacing w:line="300" w:lineRule="exact"/>
              <w:jc w:val="right"/>
              <w:rPr>
                <w:rFonts w:ascii="方正书宋_GBK" w:eastAsia="方正书宋_GBK"/>
              </w:rPr>
            </w:pPr>
          </w:p>
        </w:tc>
        <w:tc>
          <w:tcPr>
            <w:tcW w:w="817" w:type="dxa"/>
            <w:vAlign w:val="center"/>
          </w:tcPr>
          <w:p w14:paraId="350EF214">
            <w:pPr>
              <w:spacing w:line="300" w:lineRule="exact"/>
              <w:jc w:val="right"/>
              <w:rPr>
                <w:rFonts w:ascii="方正书宋_GBK" w:eastAsia="方正书宋_GBK"/>
              </w:rPr>
            </w:pPr>
          </w:p>
        </w:tc>
      </w:tr>
      <w:tr w14:paraId="5AAFF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29A2B0C6">
            <w:pPr>
              <w:spacing w:line="300" w:lineRule="exact"/>
              <w:jc w:val="left"/>
              <w:rPr>
                <w:rFonts w:hint="eastAsia" w:ascii="方正书宋_GBK" w:eastAsia="方正书宋_GBK"/>
              </w:rPr>
            </w:pPr>
            <w:r>
              <w:rPr>
                <w:rFonts w:hint="eastAsia" w:ascii="方正书宋_GBK" w:eastAsia="方正书宋_GBK"/>
              </w:rPr>
              <w:t>委员视察</w:t>
            </w:r>
          </w:p>
        </w:tc>
        <w:tc>
          <w:tcPr>
            <w:tcW w:w="1075" w:type="dxa"/>
            <w:vAlign w:val="center"/>
          </w:tcPr>
          <w:p w14:paraId="4F6C0820">
            <w:pPr>
              <w:widowControl/>
              <w:jc w:val="right"/>
              <w:textAlignment w:val="center"/>
              <w:rPr>
                <w:rFonts w:ascii="方正书宋_GBK" w:eastAsia="方正书宋_GBK"/>
              </w:rPr>
            </w:pPr>
            <w:r>
              <w:rPr>
                <w:rFonts w:hint="eastAsia" w:ascii="方正书宋_GBK" w:eastAsia="方正书宋_GBK"/>
              </w:rPr>
              <w:t>1</w:t>
            </w:r>
          </w:p>
        </w:tc>
        <w:tc>
          <w:tcPr>
            <w:tcW w:w="1115" w:type="dxa"/>
            <w:vAlign w:val="center"/>
          </w:tcPr>
          <w:p w14:paraId="725C3BE1">
            <w:pPr>
              <w:spacing w:line="300" w:lineRule="exact"/>
              <w:jc w:val="left"/>
              <w:rPr>
                <w:rFonts w:hint="eastAsia" w:ascii="方正书宋_GBK" w:eastAsia="方正书宋_GBK"/>
              </w:rPr>
            </w:pPr>
            <w:r>
              <w:rPr>
                <w:rFonts w:hint="eastAsia" w:ascii="方正书宋_GBK" w:eastAsia="方正书宋_GBK"/>
              </w:rPr>
              <w:t>印刷品</w:t>
            </w:r>
          </w:p>
        </w:tc>
        <w:tc>
          <w:tcPr>
            <w:tcW w:w="850" w:type="dxa"/>
            <w:vAlign w:val="center"/>
          </w:tcPr>
          <w:p w14:paraId="675EE234">
            <w:pPr>
              <w:spacing w:line="300" w:lineRule="exact"/>
              <w:jc w:val="left"/>
              <w:rPr>
                <w:rFonts w:ascii="方正书宋_GBK" w:eastAsia="方正书宋_GBK"/>
              </w:rPr>
            </w:pPr>
            <w:r>
              <w:rPr>
                <w:rFonts w:ascii="方正书宋_GBK" w:eastAsia="方正书宋_GBK"/>
              </w:rPr>
              <w:t>A0802</w:t>
            </w:r>
          </w:p>
        </w:tc>
        <w:tc>
          <w:tcPr>
            <w:tcW w:w="1146" w:type="dxa"/>
            <w:vAlign w:val="center"/>
          </w:tcPr>
          <w:p w14:paraId="2F4301C6">
            <w:pPr>
              <w:spacing w:line="300" w:lineRule="exact"/>
              <w:jc w:val="left"/>
              <w:rPr>
                <w:rFonts w:hint="eastAsia" w:ascii="方正书宋_GBK" w:eastAsia="方正书宋_GBK"/>
                <w:bCs/>
              </w:rPr>
            </w:pPr>
            <w:r>
              <w:rPr>
                <w:rFonts w:hint="eastAsia" w:ascii="方正书宋_GBK" w:eastAsia="方正书宋_GBK"/>
                <w:bCs/>
              </w:rPr>
              <w:t>批</w:t>
            </w:r>
          </w:p>
        </w:tc>
        <w:tc>
          <w:tcPr>
            <w:tcW w:w="816" w:type="dxa"/>
            <w:vAlign w:val="center"/>
          </w:tcPr>
          <w:p w14:paraId="1E53A11A">
            <w:pPr>
              <w:spacing w:line="300" w:lineRule="exact"/>
              <w:jc w:val="right"/>
              <w:rPr>
                <w:rFonts w:hint="eastAsia" w:ascii="方正书宋_GBK" w:eastAsia="方正书宋_GBK"/>
              </w:rPr>
            </w:pPr>
            <w:r>
              <w:rPr>
                <w:rFonts w:hint="eastAsia" w:ascii="方正书宋_GBK" w:eastAsia="方正书宋_GBK"/>
              </w:rPr>
              <w:t>1</w:t>
            </w:r>
          </w:p>
        </w:tc>
        <w:tc>
          <w:tcPr>
            <w:tcW w:w="1276" w:type="dxa"/>
            <w:vAlign w:val="center"/>
          </w:tcPr>
          <w:p w14:paraId="2F970FC5">
            <w:pPr>
              <w:widowControl/>
              <w:jc w:val="right"/>
              <w:textAlignment w:val="center"/>
              <w:rPr>
                <w:rFonts w:ascii="方正书宋_GBK" w:eastAsia="方正书宋_GBK"/>
              </w:rPr>
            </w:pPr>
            <w:r>
              <w:rPr>
                <w:rFonts w:hint="eastAsia" w:ascii="方正书宋_GBK" w:eastAsia="方正书宋_GBK"/>
              </w:rPr>
              <w:t>1</w:t>
            </w:r>
          </w:p>
        </w:tc>
        <w:tc>
          <w:tcPr>
            <w:tcW w:w="992" w:type="dxa"/>
            <w:vAlign w:val="center"/>
          </w:tcPr>
          <w:p w14:paraId="0FB3216E">
            <w:pPr>
              <w:widowControl/>
              <w:jc w:val="right"/>
              <w:textAlignment w:val="center"/>
              <w:rPr>
                <w:rFonts w:ascii="方正书宋_GBK" w:eastAsia="方正书宋_GBK"/>
              </w:rPr>
            </w:pPr>
            <w:r>
              <w:rPr>
                <w:rFonts w:hint="eastAsia" w:ascii="方正书宋_GBK" w:eastAsia="方正书宋_GBK"/>
              </w:rPr>
              <w:t>1</w:t>
            </w:r>
          </w:p>
        </w:tc>
        <w:tc>
          <w:tcPr>
            <w:tcW w:w="1031" w:type="dxa"/>
            <w:vAlign w:val="center"/>
          </w:tcPr>
          <w:p w14:paraId="209D5FB1">
            <w:pPr>
              <w:widowControl/>
              <w:jc w:val="right"/>
              <w:textAlignment w:val="center"/>
              <w:rPr>
                <w:rFonts w:ascii="方正书宋_GBK" w:eastAsia="方正书宋_GBK"/>
              </w:rPr>
            </w:pPr>
            <w:r>
              <w:rPr>
                <w:rFonts w:hint="eastAsia" w:ascii="方正书宋_GBK" w:eastAsia="方正书宋_GBK"/>
              </w:rPr>
              <w:t>1</w:t>
            </w:r>
          </w:p>
        </w:tc>
        <w:tc>
          <w:tcPr>
            <w:tcW w:w="1054" w:type="dxa"/>
            <w:vAlign w:val="center"/>
          </w:tcPr>
          <w:p w14:paraId="7B4A7D22">
            <w:pPr>
              <w:widowControl/>
              <w:jc w:val="right"/>
              <w:textAlignment w:val="center"/>
              <w:rPr>
                <w:rFonts w:ascii="方正书宋_GBK" w:eastAsia="方正书宋_GBK"/>
              </w:rPr>
            </w:pPr>
            <w:r>
              <w:rPr>
                <w:rFonts w:hint="eastAsia" w:ascii="方正书宋_GBK" w:eastAsia="方正书宋_GBK"/>
              </w:rPr>
              <w:t>1</w:t>
            </w:r>
          </w:p>
        </w:tc>
        <w:tc>
          <w:tcPr>
            <w:tcW w:w="1054" w:type="dxa"/>
            <w:vAlign w:val="center"/>
          </w:tcPr>
          <w:p w14:paraId="4318D9C9">
            <w:pPr>
              <w:spacing w:line="300" w:lineRule="exact"/>
              <w:jc w:val="center"/>
              <w:rPr>
                <w:rFonts w:ascii="方正书宋_GBK" w:eastAsia="方正书宋_GBK"/>
              </w:rPr>
            </w:pPr>
          </w:p>
        </w:tc>
        <w:tc>
          <w:tcPr>
            <w:tcW w:w="881" w:type="dxa"/>
            <w:vAlign w:val="center"/>
          </w:tcPr>
          <w:p w14:paraId="039C26BA">
            <w:pPr>
              <w:spacing w:line="300" w:lineRule="exact"/>
              <w:jc w:val="right"/>
              <w:rPr>
                <w:rFonts w:ascii="方正书宋_GBK" w:eastAsia="方正书宋_GBK"/>
              </w:rPr>
            </w:pPr>
          </w:p>
        </w:tc>
        <w:tc>
          <w:tcPr>
            <w:tcW w:w="885" w:type="dxa"/>
            <w:vAlign w:val="center"/>
          </w:tcPr>
          <w:p w14:paraId="3D2FB839">
            <w:pPr>
              <w:spacing w:line="300" w:lineRule="exact"/>
              <w:jc w:val="right"/>
              <w:rPr>
                <w:rFonts w:ascii="方正书宋_GBK" w:eastAsia="方正书宋_GBK"/>
              </w:rPr>
            </w:pPr>
          </w:p>
        </w:tc>
        <w:tc>
          <w:tcPr>
            <w:tcW w:w="817" w:type="dxa"/>
            <w:vAlign w:val="center"/>
          </w:tcPr>
          <w:p w14:paraId="7D9A6F0F">
            <w:pPr>
              <w:spacing w:line="300" w:lineRule="exact"/>
              <w:jc w:val="right"/>
              <w:rPr>
                <w:rFonts w:ascii="方正书宋_GBK" w:eastAsia="方正书宋_GBK"/>
              </w:rPr>
            </w:pPr>
          </w:p>
        </w:tc>
      </w:tr>
      <w:tr w14:paraId="267B5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11388D2D">
            <w:pPr>
              <w:spacing w:line="300" w:lineRule="exact"/>
              <w:jc w:val="left"/>
              <w:rPr>
                <w:rFonts w:hint="eastAsia" w:ascii="方正书宋_GBK" w:eastAsia="方正书宋_GBK"/>
              </w:rPr>
            </w:pPr>
          </w:p>
        </w:tc>
        <w:tc>
          <w:tcPr>
            <w:tcW w:w="1075" w:type="dxa"/>
            <w:vAlign w:val="center"/>
          </w:tcPr>
          <w:p w14:paraId="19127191">
            <w:pPr>
              <w:widowControl/>
              <w:jc w:val="right"/>
              <w:textAlignment w:val="center"/>
              <w:rPr>
                <w:rFonts w:ascii="方正书宋_GBK" w:eastAsia="方正书宋_GBK"/>
              </w:rPr>
            </w:pPr>
          </w:p>
        </w:tc>
        <w:tc>
          <w:tcPr>
            <w:tcW w:w="1115" w:type="dxa"/>
            <w:vAlign w:val="center"/>
          </w:tcPr>
          <w:p w14:paraId="2B955C3E">
            <w:pPr>
              <w:spacing w:line="300" w:lineRule="exact"/>
              <w:jc w:val="left"/>
              <w:rPr>
                <w:rFonts w:hint="eastAsia" w:ascii="方正书宋_GBK" w:eastAsia="方正书宋_GBK"/>
              </w:rPr>
            </w:pPr>
          </w:p>
        </w:tc>
        <w:tc>
          <w:tcPr>
            <w:tcW w:w="850" w:type="dxa"/>
            <w:vAlign w:val="center"/>
          </w:tcPr>
          <w:p w14:paraId="727A46A1">
            <w:pPr>
              <w:spacing w:line="300" w:lineRule="exact"/>
              <w:jc w:val="left"/>
              <w:rPr>
                <w:rFonts w:hint="eastAsia" w:ascii="方正书宋_GBK" w:eastAsia="方正书宋_GBK"/>
              </w:rPr>
            </w:pPr>
          </w:p>
        </w:tc>
        <w:tc>
          <w:tcPr>
            <w:tcW w:w="1146" w:type="dxa"/>
            <w:vAlign w:val="center"/>
          </w:tcPr>
          <w:p w14:paraId="7261AA91">
            <w:pPr>
              <w:spacing w:line="300" w:lineRule="exact"/>
              <w:jc w:val="left"/>
              <w:rPr>
                <w:rFonts w:hint="eastAsia" w:ascii="方正书宋_GBK" w:eastAsia="方正书宋_GBK"/>
              </w:rPr>
            </w:pPr>
          </w:p>
        </w:tc>
        <w:tc>
          <w:tcPr>
            <w:tcW w:w="816" w:type="dxa"/>
            <w:vAlign w:val="center"/>
          </w:tcPr>
          <w:p w14:paraId="4C6A9D88">
            <w:pPr>
              <w:spacing w:line="300" w:lineRule="exact"/>
              <w:jc w:val="right"/>
              <w:rPr>
                <w:rFonts w:hint="eastAsia" w:ascii="方正书宋_GBK" w:eastAsia="方正书宋_GBK"/>
              </w:rPr>
            </w:pPr>
          </w:p>
        </w:tc>
        <w:tc>
          <w:tcPr>
            <w:tcW w:w="1276" w:type="dxa"/>
            <w:vAlign w:val="center"/>
          </w:tcPr>
          <w:p w14:paraId="25D8B8C6">
            <w:pPr>
              <w:widowControl/>
              <w:jc w:val="right"/>
              <w:textAlignment w:val="center"/>
              <w:rPr>
                <w:rFonts w:ascii="方正书宋_GBK" w:eastAsia="方正书宋_GBK"/>
              </w:rPr>
            </w:pPr>
          </w:p>
        </w:tc>
        <w:tc>
          <w:tcPr>
            <w:tcW w:w="992" w:type="dxa"/>
            <w:vAlign w:val="center"/>
          </w:tcPr>
          <w:p w14:paraId="03080E21">
            <w:pPr>
              <w:widowControl/>
              <w:jc w:val="right"/>
              <w:textAlignment w:val="center"/>
              <w:rPr>
                <w:rFonts w:ascii="方正书宋_GBK" w:eastAsia="方正书宋_GBK"/>
              </w:rPr>
            </w:pPr>
          </w:p>
        </w:tc>
        <w:tc>
          <w:tcPr>
            <w:tcW w:w="1031" w:type="dxa"/>
            <w:vAlign w:val="center"/>
          </w:tcPr>
          <w:p w14:paraId="4E1AF627">
            <w:pPr>
              <w:widowControl/>
              <w:jc w:val="right"/>
              <w:textAlignment w:val="center"/>
              <w:rPr>
                <w:rFonts w:ascii="方正书宋_GBK" w:eastAsia="方正书宋_GBK"/>
              </w:rPr>
            </w:pPr>
          </w:p>
        </w:tc>
        <w:tc>
          <w:tcPr>
            <w:tcW w:w="1054" w:type="dxa"/>
            <w:vAlign w:val="center"/>
          </w:tcPr>
          <w:p w14:paraId="795F0CD7">
            <w:pPr>
              <w:widowControl/>
              <w:jc w:val="right"/>
              <w:textAlignment w:val="center"/>
              <w:rPr>
                <w:rFonts w:ascii="方正书宋_GBK" w:eastAsia="方正书宋_GBK"/>
              </w:rPr>
            </w:pPr>
          </w:p>
        </w:tc>
        <w:tc>
          <w:tcPr>
            <w:tcW w:w="1054" w:type="dxa"/>
            <w:vAlign w:val="center"/>
          </w:tcPr>
          <w:p w14:paraId="57C6C860">
            <w:pPr>
              <w:spacing w:line="300" w:lineRule="exact"/>
              <w:jc w:val="right"/>
              <w:rPr>
                <w:rFonts w:ascii="方正书宋_GBK" w:eastAsia="方正书宋_GBK"/>
              </w:rPr>
            </w:pPr>
          </w:p>
        </w:tc>
        <w:tc>
          <w:tcPr>
            <w:tcW w:w="881" w:type="dxa"/>
            <w:vAlign w:val="center"/>
          </w:tcPr>
          <w:p w14:paraId="55375667">
            <w:pPr>
              <w:spacing w:line="300" w:lineRule="exact"/>
              <w:jc w:val="right"/>
              <w:rPr>
                <w:rFonts w:ascii="方正书宋_GBK" w:eastAsia="方正书宋_GBK"/>
              </w:rPr>
            </w:pPr>
          </w:p>
        </w:tc>
        <w:tc>
          <w:tcPr>
            <w:tcW w:w="885" w:type="dxa"/>
            <w:vAlign w:val="center"/>
          </w:tcPr>
          <w:p w14:paraId="3EA65197">
            <w:pPr>
              <w:spacing w:line="300" w:lineRule="exact"/>
              <w:jc w:val="right"/>
              <w:rPr>
                <w:rFonts w:ascii="方正书宋_GBK" w:eastAsia="方正书宋_GBK"/>
              </w:rPr>
            </w:pPr>
          </w:p>
        </w:tc>
        <w:tc>
          <w:tcPr>
            <w:tcW w:w="817" w:type="dxa"/>
            <w:vAlign w:val="center"/>
          </w:tcPr>
          <w:p w14:paraId="2A07779A">
            <w:pPr>
              <w:spacing w:line="300" w:lineRule="exact"/>
              <w:jc w:val="right"/>
              <w:rPr>
                <w:rFonts w:ascii="方正书宋_GBK" w:eastAsia="方正书宋_GBK"/>
              </w:rPr>
            </w:pPr>
          </w:p>
        </w:tc>
      </w:tr>
      <w:tr w14:paraId="1D476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tcPr>
          <w:p w14:paraId="3B57DE68">
            <w:pPr>
              <w:spacing w:line="300" w:lineRule="exact"/>
              <w:jc w:val="left"/>
              <w:rPr>
                <w:rFonts w:hint="eastAsia" w:ascii="方正书宋_GBK" w:eastAsia="方正书宋_GBK"/>
              </w:rPr>
            </w:pPr>
          </w:p>
        </w:tc>
        <w:tc>
          <w:tcPr>
            <w:tcW w:w="1075" w:type="dxa"/>
          </w:tcPr>
          <w:p w14:paraId="592FBE9D">
            <w:pPr>
              <w:widowControl/>
              <w:jc w:val="right"/>
              <w:textAlignment w:val="center"/>
              <w:rPr>
                <w:rFonts w:ascii="方正书宋_GBK" w:eastAsia="方正书宋_GBK"/>
              </w:rPr>
            </w:pPr>
          </w:p>
        </w:tc>
        <w:tc>
          <w:tcPr>
            <w:tcW w:w="1115" w:type="dxa"/>
          </w:tcPr>
          <w:p w14:paraId="2FE2B7B0">
            <w:pPr>
              <w:spacing w:line="300" w:lineRule="exact"/>
              <w:jc w:val="left"/>
              <w:rPr>
                <w:rFonts w:hint="eastAsia" w:ascii="方正书宋_GBK" w:eastAsia="方正书宋_GBK"/>
              </w:rPr>
            </w:pPr>
          </w:p>
        </w:tc>
        <w:tc>
          <w:tcPr>
            <w:tcW w:w="850" w:type="dxa"/>
          </w:tcPr>
          <w:p w14:paraId="0FBAF024">
            <w:pPr>
              <w:spacing w:line="300" w:lineRule="exact"/>
              <w:jc w:val="left"/>
              <w:rPr>
                <w:rFonts w:hint="eastAsia" w:ascii="方正书宋_GBK" w:eastAsia="方正书宋_GBK"/>
              </w:rPr>
            </w:pPr>
          </w:p>
        </w:tc>
        <w:tc>
          <w:tcPr>
            <w:tcW w:w="1146" w:type="dxa"/>
          </w:tcPr>
          <w:p w14:paraId="26540D7A">
            <w:pPr>
              <w:spacing w:line="300" w:lineRule="exact"/>
              <w:jc w:val="left"/>
              <w:rPr>
                <w:rFonts w:hint="eastAsia" w:ascii="方正书宋_GBK" w:eastAsia="方正书宋_GBK"/>
              </w:rPr>
            </w:pPr>
          </w:p>
        </w:tc>
        <w:tc>
          <w:tcPr>
            <w:tcW w:w="816" w:type="dxa"/>
          </w:tcPr>
          <w:p w14:paraId="51A3DFE6">
            <w:pPr>
              <w:spacing w:line="300" w:lineRule="exact"/>
              <w:jc w:val="right"/>
              <w:rPr>
                <w:rFonts w:hint="eastAsia" w:ascii="方正书宋_GBK" w:eastAsia="方正书宋_GBK"/>
              </w:rPr>
            </w:pPr>
          </w:p>
        </w:tc>
        <w:tc>
          <w:tcPr>
            <w:tcW w:w="1276" w:type="dxa"/>
            <w:vAlign w:val="center"/>
          </w:tcPr>
          <w:p w14:paraId="6ADC53C2">
            <w:pPr>
              <w:widowControl/>
              <w:jc w:val="right"/>
              <w:textAlignment w:val="center"/>
              <w:rPr>
                <w:rFonts w:ascii="方正书宋_GBK" w:eastAsia="方正书宋_GBK"/>
              </w:rPr>
            </w:pPr>
          </w:p>
        </w:tc>
        <w:tc>
          <w:tcPr>
            <w:tcW w:w="992" w:type="dxa"/>
          </w:tcPr>
          <w:p w14:paraId="268C54B2">
            <w:pPr>
              <w:widowControl/>
              <w:jc w:val="right"/>
              <w:textAlignment w:val="center"/>
              <w:rPr>
                <w:rFonts w:ascii="方正书宋_GBK" w:eastAsia="方正书宋_GBK"/>
              </w:rPr>
            </w:pPr>
          </w:p>
        </w:tc>
        <w:tc>
          <w:tcPr>
            <w:tcW w:w="1031" w:type="dxa"/>
          </w:tcPr>
          <w:p w14:paraId="2D6FF116">
            <w:pPr>
              <w:widowControl/>
              <w:jc w:val="right"/>
              <w:textAlignment w:val="center"/>
              <w:rPr>
                <w:rFonts w:ascii="方正书宋_GBK" w:eastAsia="方正书宋_GBK"/>
              </w:rPr>
            </w:pPr>
          </w:p>
        </w:tc>
        <w:tc>
          <w:tcPr>
            <w:tcW w:w="1054" w:type="dxa"/>
          </w:tcPr>
          <w:p w14:paraId="0C7EEB65">
            <w:pPr>
              <w:widowControl/>
              <w:jc w:val="right"/>
              <w:textAlignment w:val="center"/>
              <w:rPr>
                <w:rFonts w:ascii="方正书宋_GBK" w:eastAsia="方正书宋_GBK"/>
              </w:rPr>
            </w:pPr>
          </w:p>
        </w:tc>
        <w:tc>
          <w:tcPr>
            <w:tcW w:w="1054" w:type="dxa"/>
          </w:tcPr>
          <w:p w14:paraId="1420F12F">
            <w:pPr>
              <w:spacing w:line="300" w:lineRule="exact"/>
              <w:jc w:val="right"/>
              <w:rPr>
                <w:rFonts w:ascii="方正书宋_GBK" w:eastAsia="方正书宋_GBK"/>
              </w:rPr>
            </w:pPr>
          </w:p>
        </w:tc>
        <w:tc>
          <w:tcPr>
            <w:tcW w:w="881" w:type="dxa"/>
          </w:tcPr>
          <w:p w14:paraId="34FEFAEA">
            <w:pPr>
              <w:spacing w:line="300" w:lineRule="exact"/>
              <w:jc w:val="right"/>
              <w:rPr>
                <w:rFonts w:ascii="方正书宋_GBK" w:eastAsia="方正书宋_GBK"/>
              </w:rPr>
            </w:pPr>
          </w:p>
        </w:tc>
        <w:tc>
          <w:tcPr>
            <w:tcW w:w="885" w:type="dxa"/>
          </w:tcPr>
          <w:p w14:paraId="41189611">
            <w:pPr>
              <w:spacing w:line="300" w:lineRule="exact"/>
              <w:jc w:val="right"/>
              <w:rPr>
                <w:rFonts w:ascii="方正书宋_GBK" w:eastAsia="方正书宋_GBK"/>
              </w:rPr>
            </w:pPr>
          </w:p>
        </w:tc>
        <w:tc>
          <w:tcPr>
            <w:tcW w:w="817" w:type="dxa"/>
          </w:tcPr>
          <w:p w14:paraId="551C5A0A">
            <w:pPr>
              <w:spacing w:line="300" w:lineRule="exact"/>
              <w:jc w:val="right"/>
              <w:rPr>
                <w:rFonts w:ascii="方正书宋_GBK" w:eastAsia="方正书宋_GBK"/>
              </w:rPr>
            </w:pPr>
          </w:p>
        </w:tc>
      </w:tr>
    </w:tbl>
    <w:p w14:paraId="168DBD33">
      <w:pPr>
        <w:jc w:val="center"/>
        <w:outlineLvl w:val="0"/>
        <w:rPr>
          <w:rFonts w:hint="eastAsia" w:ascii="黑体" w:hAnsi="黑体" w:eastAsia="黑体"/>
          <w:sz w:val="32"/>
          <w:szCs w:val="32"/>
        </w:rPr>
      </w:pPr>
    </w:p>
    <w:p w14:paraId="5E28C7F6">
      <w:pPr>
        <w:jc w:val="center"/>
        <w:outlineLvl w:val="0"/>
        <w:rPr>
          <w:rFonts w:hint="eastAsia" w:ascii="黑体" w:hAnsi="黑体" w:eastAsia="黑体"/>
          <w:sz w:val="32"/>
          <w:szCs w:val="32"/>
        </w:rPr>
      </w:pPr>
    </w:p>
    <w:p w14:paraId="63CFB597">
      <w:pPr>
        <w:jc w:val="center"/>
        <w:outlineLvl w:val="0"/>
        <w:rPr>
          <w:rFonts w:hint="eastAsia" w:ascii="黑体" w:hAnsi="黑体" w:eastAsia="黑体"/>
          <w:sz w:val="32"/>
          <w:szCs w:val="32"/>
        </w:rPr>
      </w:pPr>
    </w:p>
    <w:p w14:paraId="22758091">
      <w:pPr>
        <w:jc w:val="center"/>
        <w:outlineLvl w:val="0"/>
        <w:rPr>
          <w:rFonts w:ascii="黑体" w:hAnsi="黑体" w:eastAsia="黑体"/>
          <w:sz w:val="32"/>
          <w:szCs w:val="32"/>
        </w:rPr>
        <w:sectPr>
          <w:pgSz w:w="16839" w:h="11907" w:orient="landscape"/>
          <w:pgMar w:top="1134" w:right="1531" w:bottom="1134" w:left="1474" w:header="851" w:footer="992" w:gutter="0"/>
          <w:cols w:space="425" w:num="1"/>
          <w:docGrid w:linePitch="312" w:charSpace="0"/>
        </w:sectPr>
      </w:pPr>
    </w:p>
    <w:p w14:paraId="12BE3E1A">
      <w:pPr>
        <w:jc w:val="left"/>
        <w:outlineLvl w:val="0"/>
        <w:rPr>
          <w:rFonts w:ascii="仿宋" w:hAnsi="仿宋" w:eastAsia="仿宋"/>
          <w:sz w:val="32"/>
          <w:szCs w:val="32"/>
        </w:rPr>
      </w:pPr>
      <w:r>
        <w:rPr>
          <w:rFonts w:hint="eastAsia" w:ascii="仿宋" w:hAnsi="仿宋" w:eastAsia="仿宋"/>
          <w:sz w:val="32"/>
          <w:szCs w:val="32"/>
        </w:rPr>
        <w:t xml:space="preserve"> </w:t>
      </w:r>
    </w:p>
    <w:p w14:paraId="69984501">
      <w:pPr>
        <w:jc w:val="center"/>
        <w:rPr>
          <w:rFonts w:ascii="黑体" w:hAnsi="黑体" w:eastAsia="黑体"/>
          <w:sz w:val="32"/>
          <w:szCs w:val="32"/>
        </w:rPr>
      </w:pPr>
      <w:r>
        <w:rPr>
          <w:rFonts w:hint="eastAsia" w:ascii="黑体" w:hAnsi="黑体" w:eastAsia="黑体"/>
          <w:sz w:val="32"/>
          <w:szCs w:val="32"/>
        </w:rPr>
        <w:t>第七部分：国有资产信息情况说明</w:t>
      </w:r>
    </w:p>
    <w:p w14:paraId="3F020E4C">
      <w:pPr>
        <w:rPr>
          <w:rFonts w:ascii="宋体" w:hAnsi="宋体"/>
          <w:sz w:val="32"/>
          <w:szCs w:val="32"/>
        </w:rPr>
      </w:pPr>
      <w:r>
        <w:rPr>
          <w:rFonts w:hint="eastAsia" w:ascii="宋体" w:hAnsi="宋体"/>
          <w:sz w:val="32"/>
          <w:szCs w:val="32"/>
        </w:rPr>
        <w:t xml:space="preserve">  </w:t>
      </w:r>
    </w:p>
    <w:p w14:paraId="5C41397D">
      <w:pPr>
        <w:spacing w:line="520" w:lineRule="exact"/>
        <w:ind w:firstLine="640" w:firstLineChars="200"/>
        <w:rPr>
          <w:rFonts w:ascii="仿宋" w:hAnsi="仿宋" w:eastAsia="仿宋"/>
          <w:sz w:val="32"/>
          <w:szCs w:val="32"/>
        </w:rPr>
      </w:pPr>
      <w:r>
        <w:rPr>
          <w:rFonts w:hint="eastAsia" w:ascii="仿宋" w:hAnsi="仿宋" w:eastAsia="仿宋"/>
          <w:sz w:val="32"/>
          <w:szCs w:val="32"/>
        </w:rPr>
        <w:t>中国人民政治协商会议河北省阜平县委员会2018年末固定资产总值62.247万元， 我部门2019年度无拟购计划。</w:t>
      </w:r>
    </w:p>
    <w:tbl>
      <w:tblPr>
        <w:tblStyle w:val="4"/>
        <w:tblW w:w="8804" w:type="dxa"/>
        <w:tblInd w:w="93" w:type="dxa"/>
        <w:tblLayout w:type="fixed"/>
        <w:tblCellMar>
          <w:top w:w="0" w:type="dxa"/>
          <w:left w:w="108" w:type="dxa"/>
          <w:bottom w:w="0" w:type="dxa"/>
          <w:right w:w="108" w:type="dxa"/>
        </w:tblCellMar>
      </w:tblPr>
      <w:tblGrid>
        <w:gridCol w:w="3811"/>
        <w:gridCol w:w="1591"/>
        <w:gridCol w:w="3402"/>
      </w:tblGrid>
      <w:tr w14:paraId="74F5577E">
        <w:tblPrEx>
          <w:tblCellMar>
            <w:top w:w="0" w:type="dxa"/>
            <w:left w:w="108" w:type="dxa"/>
            <w:bottom w:w="0" w:type="dxa"/>
            <w:right w:w="108" w:type="dxa"/>
          </w:tblCellMar>
        </w:tblPrEx>
        <w:trPr>
          <w:trHeight w:val="675" w:hRule="atLeast"/>
        </w:trPr>
        <w:tc>
          <w:tcPr>
            <w:tcW w:w="8804" w:type="dxa"/>
            <w:gridSpan w:val="3"/>
            <w:tcBorders>
              <w:top w:val="nil"/>
              <w:left w:val="nil"/>
              <w:bottom w:val="nil"/>
              <w:right w:val="nil"/>
            </w:tcBorders>
            <w:shd w:val="clear" w:color="auto" w:fill="auto"/>
            <w:vAlign w:val="center"/>
          </w:tcPr>
          <w:p w14:paraId="02080D50">
            <w:pPr>
              <w:widowControl/>
              <w:ind w:firstLine="643" w:firstLineChars="200"/>
              <w:jc w:val="center"/>
              <w:rPr>
                <w:rFonts w:ascii="仿宋" w:hAnsi="仿宋" w:eastAsia="仿宋"/>
                <w:b/>
                <w:sz w:val="32"/>
                <w:szCs w:val="32"/>
              </w:rPr>
            </w:pPr>
          </w:p>
          <w:p w14:paraId="7774ACA3">
            <w:pPr>
              <w:widowControl/>
              <w:ind w:firstLine="643" w:firstLineChars="200"/>
              <w:jc w:val="center"/>
              <w:rPr>
                <w:rFonts w:ascii="仿宋" w:hAnsi="仿宋" w:eastAsia="仿宋"/>
                <w:b/>
                <w:sz w:val="32"/>
                <w:szCs w:val="32"/>
              </w:rPr>
            </w:pPr>
            <w:r>
              <w:rPr>
                <w:rFonts w:hint="eastAsia" w:ascii="仿宋" w:hAnsi="仿宋" w:eastAsia="仿宋"/>
                <w:b/>
                <w:sz w:val="32"/>
                <w:szCs w:val="32"/>
              </w:rPr>
              <w:t>中国人民政治协商会议河北省阜平县委员会</w:t>
            </w:r>
          </w:p>
          <w:p w14:paraId="3ED4740D">
            <w:pPr>
              <w:widowControl/>
              <w:ind w:firstLine="643" w:firstLineChars="200"/>
              <w:jc w:val="center"/>
              <w:rPr>
                <w:rFonts w:ascii="宋体" w:hAnsi="宋体" w:cs="宋体"/>
                <w:color w:val="000000"/>
                <w:kern w:val="0"/>
                <w:sz w:val="28"/>
                <w:szCs w:val="28"/>
              </w:rPr>
            </w:pPr>
            <w:r>
              <w:rPr>
                <w:rFonts w:hint="eastAsia" w:ascii="仿宋" w:hAnsi="仿宋" w:eastAsia="仿宋"/>
                <w:b/>
                <w:sz w:val="32"/>
                <w:szCs w:val="32"/>
              </w:rPr>
              <w:t>固定资产占用情况表</w:t>
            </w:r>
          </w:p>
        </w:tc>
      </w:tr>
      <w:tr w14:paraId="37C23853">
        <w:tblPrEx>
          <w:tblCellMar>
            <w:top w:w="0" w:type="dxa"/>
            <w:left w:w="108" w:type="dxa"/>
            <w:bottom w:w="0" w:type="dxa"/>
            <w:right w:w="108" w:type="dxa"/>
          </w:tblCellMar>
        </w:tblPrEx>
        <w:trPr>
          <w:trHeight w:val="465" w:hRule="atLeast"/>
        </w:trPr>
        <w:tc>
          <w:tcPr>
            <w:tcW w:w="8804" w:type="dxa"/>
            <w:gridSpan w:val="3"/>
            <w:tcBorders>
              <w:top w:val="nil"/>
              <w:left w:val="nil"/>
              <w:bottom w:val="single" w:color="auto" w:sz="4" w:space="0"/>
              <w:right w:val="nil"/>
            </w:tcBorders>
            <w:shd w:val="clear" w:color="auto" w:fill="auto"/>
            <w:vAlign w:val="center"/>
          </w:tcPr>
          <w:p w14:paraId="14253B40">
            <w:pPr>
              <w:widowControl/>
              <w:jc w:val="center"/>
              <w:rPr>
                <w:rFonts w:ascii="仿宋_GB2312" w:hAnsi="宋体" w:eastAsia="仿宋_GB2312" w:cs="宋体"/>
                <w:color w:val="000000"/>
                <w:kern w:val="0"/>
                <w:sz w:val="32"/>
                <w:szCs w:val="32"/>
              </w:rPr>
            </w:pPr>
            <w:r>
              <w:rPr>
                <w:rFonts w:hint="eastAsia" w:ascii="仿宋_GB2312" w:hAnsi="宋体" w:eastAsia="仿宋_GB2312" w:cs="宋体"/>
                <w:bCs/>
                <w:color w:val="000000"/>
                <w:kern w:val="0"/>
                <w:sz w:val="32"/>
                <w:szCs w:val="32"/>
              </w:rPr>
              <w:t xml:space="preserve">                          截止时间：2018年12月31日</w:t>
            </w:r>
          </w:p>
        </w:tc>
      </w:tr>
      <w:tr w14:paraId="66C53508">
        <w:tblPrEx>
          <w:tblCellMar>
            <w:top w:w="0" w:type="dxa"/>
            <w:left w:w="108" w:type="dxa"/>
            <w:bottom w:w="0" w:type="dxa"/>
            <w:right w:w="108" w:type="dxa"/>
          </w:tblCellMar>
        </w:tblPrEx>
        <w:trPr>
          <w:trHeight w:val="750"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2B0A46C5">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项　　目</w:t>
            </w:r>
          </w:p>
        </w:tc>
        <w:tc>
          <w:tcPr>
            <w:tcW w:w="1591" w:type="dxa"/>
            <w:tcBorders>
              <w:top w:val="nil"/>
              <w:left w:val="nil"/>
              <w:bottom w:val="single" w:color="auto" w:sz="4" w:space="0"/>
              <w:right w:val="single" w:color="auto" w:sz="4" w:space="0"/>
            </w:tcBorders>
            <w:shd w:val="clear" w:color="auto" w:fill="auto"/>
            <w:vAlign w:val="center"/>
          </w:tcPr>
          <w:p w14:paraId="4B4896B3">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3402" w:type="dxa"/>
            <w:tcBorders>
              <w:top w:val="nil"/>
              <w:left w:val="nil"/>
              <w:bottom w:val="single" w:color="auto" w:sz="4" w:space="0"/>
              <w:right w:val="single" w:color="auto" w:sz="4" w:space="0"/>
            </w:tcBorders>
            <w:shd w:val="clear" w:color="auto" w:fill="auto"/>
            <w:vAlign w:val="center"/>
          </w:tcPr>
          <w:p w14:paraId="108FB7F4">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价值（单位：万元）</w:t>
            </w:r>
          </w:p>
        </w:tc>
      </w:tr>
      <w:tr w14:paraId="5FABE74D">
        <w:tblPrEx>
          <w:tblCellMar>
            <w:top w:w="0" w:type="dxa"/>
            <w:left w:w="108" w:type="dxa"/>
            <w:bottom w:w="0" w:type="dxa"/>
            <w:right w:w="108" w:type="dxa"/>
          </w:tblCellMar>
        </w:tblPrEx>
        <w:trPr>
          <w:trHeight w:val="495"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54012243">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固定资产总额</w:t>
            </w:r>
          </w:p>
        </w:tc>
        <w:tc>
          <w:tcPr>
            <w:tcW w:w="1591" w:type="dxa"/>
            <w:tcBorders>
              <w:top w:val="nil"/>
              <w:left w:val="nil"/>
              <w:bottom w:val="single" w:color="auto" w:sz="4" w:space="0"/>
              <w:right w:val="single" w:color="auto" w:sz="4" w:space="0"/>
            </w:tcBorders>
            <w:shd w:val="clear" w:color="auto" w:fill="auto"/>
            <w:vAlign w:val="center"/>
          </w:tcPr>
          <w:p w14:paraId="41F748F4">
            <w:pPr>
              <w:widowControl/>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tcBorders>
              <w:top w:val="nil"/>
              <w:left w:val="nil"/>
              <w:bottom w:val="single" w:color="auto" w:sz="4" w:space="0"/>
              <w:right w:val="single" w:color="auto" w:sz="4" w:space="0"/>
            </w:tcBorders>
            <w:shd w:val="clear" w:color="auto" w:fill="auto"/>
            <w:vAlign w:val="center"/>
          </w:tcPr>
          <w:p w14:paraId="540366F8">
            <w:pPr>
              <w:widowControl/>
              <w:jc w:val="center"/>
              <w:rPr>
                <w:rFonts w:ascii="宋体" w:hAnsi="宋体" w:cs="宋体"/>
                <w:b/>
                <w:color w:val="000000"/>
                <w:kern w:val="0"/>
                <w:sz w:val="24"/>
                <w:szCs w:val="24"/>
              </w:rPr>
            </w:pPr>
            <w:r>
              <w:rPr>
                <w:rFonts w:hint="eastAsia" w:ascii="宋体" w:hAnsi="宋体" w:cs="宋体"/>
                <w:b/>
                <w:kern w:val="0"/>
                <w:sz w:val="24"/>
                <w:szCs w:val="24"/>
              </w:rPr>
              <w:t>62．247</w:t>
            </w:r>
          </w:p>
        </w:tc>
      </w:tr>
      <w:tr w14:paraId="5B091381">
        <w:tblPrEx>
          <w:tblCellMar>
            <w:top w:w="0" w:type="dxa"/>
            <w:left w:w="108" w:type="dxa"/>
            <w:bottom w:w="0" w:type="dxa"/>
            <w:right w:w="108" w:type="dxa"/>
          </w:tblCellMar>
        </w:tblPrEx>
        <w:trPr>
          <w:trHeight w:val="483"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39F6E7E7">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1、房屋（平方米）</w:t>
            </w:r>
          </w:p>
        </w:tc>
        <w:tc>
          <w:tcPr>
            <w:tcW w:w="1591" w:type="dxa"/>
            <w:tcBorders>
              <w:top w:val="nil"/>
              <w:left w:val="nil"/>
              <w:bottom w:val="single" w:color="auto" w:sz="4" w:space="0"/>
              <w:right w:val="single" w:color="auto" w:sz="4" w:space="0"/>
            </w:tcBorders>
            <w:shd w:val="clear" w:color="auto" w:fill="auto"/>
            <w:vAlign w:val="center"/>
          </w:tcPr>
          <w:p w14:paraId="77B22949">
            <w:pPr>
              <w:widowControl/>
              <w:jc w:val="center"/>
              <w:rPr>
                <w:rFonts w:ascii="宋体" w:hAnsi="宋体" w:cs="宋体"/>
                <w:color w:val="000000"/>
                <w:kern w:val="0"/>
                <w:sz w:val="24"/>
                <w:szCs w:val="24"/>
              </w:rPr>
            </w:pPr>
            <w:r>
              <w:rPr>
                <w:rFonts w:hint="eastAsia" w:ascii="宋体" w:hAnsi="宋体" w:cs="宋体"/>
                <w:color w:val="000000"/>
                <w:kern w:val="0"/>
                <w:sz w:val="24"/>
                <w:szCs w:val="24"/>
              </w:rPr>
              <w:t>0</w:t>
            </w:r>
          </w:p>
        </w:tc>
        <w:tc>
          <w:tcPr>
            <w:tcW w:w="3402" w:type="dxa"/>
            <w:tcBorders>
              <w:top w:val="nil"/>
              <w:left w:val="nil"/>
              <w:bottom w:val="single" w:color="auto" w:sz="4" w:space="0"/>
              <w:right w:val="single" w:color="auto" w:sz="4" w:space="0"/>
            </w:tcBorders>
            <w:shd w:val="clear" w:color="auto" w:fill="auto"/>
            <w:vAlign w:val="center"/>
          </w:tcPr>
          <w:p w14:paraId="65169F7E">
            <w:pPr>
              <w:widowControl/>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14:paraId="79AC023B">
        <w:tblPrEx>
          <w:tblCellMar>
            <w:top w:w="0" w:type="dxa"/>
            <w:left w:w="108" w:type="dxa"/>
            <w:bottom w:w="0" w:type="dxa"/>
            <w:right w:w="108" w:type="dxa"/>
          </w:tblCellMar>
        </w:tblPrEx>
        <w:trPr>
          <w:trHeight w:val="419" w:hRule="atLeast"/>
        </w:trPr>
        <w:tc>
          <w:tcPr>
            <w:tcW w:w="3811" w:type="dxa"/>
            <w:tcBorders>
              <w:top w:val="single" w:color="auto" w:sz="4" w:space="0"/>
              <w:left w:val="single" w:color="auto" w:sz="4" w:space="0"/>
              <w:bottom w:val="single" w:color="auto" w:sz="4" w:space="0"/>
              <w:right w:val="single" w:color="auto" w:sz="4" w:space="0"/>
            </w:tcBorders>
            <w:shd w:val="clear" w:color="auto" w:fill="auto"/>
            <w:vAlign w:val="center"/>
          </w:tcPr>
          <w:p w14:paraId="01A45D53">
            <w:pPr>
              <w:jc w:val="left"/>
              <w:rPr>
                <w:rFonts w:ascii="宋体" w:hAnsi="宋体" w:cs="宋体"/>
                <w:color w:val="000000"/>
                <w:kern w:val="0"/>
                <w:sz w:val="24"/>
                <w:szCs w:val="24"/>
              </w:rPr>
            </w:pPr>
            <w:r>
              <w:rPr>
                <w:rFonts w:hint="eastAsia" w:ascii="宋体" w:hAnsi="宋体" w:cs="宋体"/>
                <w:color w:val="000000"/>
                <w:kern w:val="0"/>
                <w:sz w:val="24"/>
                <w:szCs w:val="24"/>
              </w:rPr>
              <w:t xml:space="preserve">   其中：办公用房（平方米）</w:t>
            </w:r>
          </w:p>
        </w:tc>
        <w:tc>
          <w:tcPr>
            <w:tcW w:w="1591" w:type="dxa"/>
            <w:tcBorders>
              <w:top w:val="single" w:color="auto" w:sz="4" w:space="0"/>
              <w:left w:val="nil"/>
              <w:bottom w:val="single" w:color="auto" w:sz="4" w:space="0"/>
              <w:right w:val="single" w:color="auto" w:sz="4" w:space="0"/>
            </w:tcBorders>
            <w:shd w:val="clear" w:color="auto" w:fill="auto"/>
            <w:vAlign w:val="center"/>
          </w:tcPr>
          <w:p w14:paraId="109B9535">
            <w:pPr>
              <w:jc w:val="center"/>
              <w:rPr>
                <w:rFonts w:ascii="宋体" w:hAnsi="宋体" w:cs="宋体"/>
                <w:color w:val="000000"/>
                <w:kern w:val="0"/>
                <w:sz w:val="24"/>
                <w:szCs w:val="24"/>
              </w:rPr>
            </w:pPr>
            <w:r>
              <w:rPr>
                <w:rFonts w:hint="eastAsia" w:ascii="宋体" w:hAnsi="宋体" w:cs="宋体"/>
                <w:color w:val="000000"/>
                <w:kern w:val="0"/>
                <w:sz w:val="24"/>
                <w:szCs w:val="24"/>
              </w:rPr>
              <w:t>0</w:t>
            </w:r>
          </w:p>
        </w:tc>
        <w:tc>
          <w:tcPr>
            <w:tcW w:w="3402" w:type="dxa"/>
            <w:tcBorders>
              <w:top w:val="single" w:color="auto" w:sz="4" w:space="0"/>
              <w:left w:val="nil"/>
              <w:bottom w:val="single" w:color="auto" w:sz="4" w:space="0"/>
              <w:right w:val="single" w:color="auto" w:sz="4" w:space="0"/>
            </w:tcBorders>
            <w:shd w:val="clear" w:color="auto" w:fill="auto"/>
            <w:vAlign w:val="center"/>
          </w:tcPr>
          <w:p w14:paraId="510BA79F">
            <w:pPr>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14:paraId="4E2CED6A">
        <w:tblPrEx>
          <w:tblCellMar>
            <w:top w:w="0" w:type="dxa"/>
            <w:left w:w="108" w:type="dxa"/>
            <w:bottom w:w="0" w:type="dxa"/>
            <w:right w:w="108" w:type="dxa"/>
          </w:tblCellMar>
        </w:tblPrEx>
        <w:trPr>
          <w:trHeight w:val="495"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40CB30A4">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2、车辆（台、辆）</w:t>
            </w:r>
          </w:p>
        </w:tc>
        <w:tc>
          <w:tcPr>
            <w:tcW w:w="1591" w:type="dxa"/>
            <w:tcBorders>
              <w:top w:val="nil"/>
              <w:left w:val="nil"/>
              <w:bottom w:val="single" w:color="auto" w:sz="4" w:space="0"/>
              <w:right w:val="single" w:color="auto" w:sz="4" w:space="0"/>
            </w:tcBorders>
            <w:shd w:val="clear" w:color="auto" w:fill="auto"/>
            <w:vAlign w:val="center"/>
          </w:tcPr>
          <w:p w14:paraId="56F28813">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3402" w:type="dxa"/>
            <w:tcBorders>
              <w:top w:val="nil"/>
              <w:left w:val="nil"/>
              <w:bottom w:val="single" w:color="auto" w:sz="4" w:space="0"/>
              <w:right w:val="single" w:color="auto" w:sz="4" w:space="0"/>
            </w:tcBorders>
            <w:shd w:val="clear" w:color="auto" w:fill="auto"/>
            <w:vAlign w:val="center"/>
          </w:tcPr>
          <w:p w14:paraId="79CA19E5">
            <w:pPr>
              <w:widowControl/>
              <w:jc w:val="center"/>
              <w:rPr>
                <w:rFonts w:ascii="宋体" w:hAnsi="宋体" w:cs="宋体"/>
                <w:color w:val="000000"/>
                <w:kern w:val="0"/>
                <w:sz w:val="24"/>
                <w:szCs w:val="24"/>
              </w:rPr>
            </w:pPr>
            <w:r>
              <w:rPr>
                <w:rFonts w:hint="eastAsia" w:ascii="宋体" w:hAnsi="宋体" w:cs="宋体"/>
                <w:color w:val="000000"/>
                <w:kern w:val="0"/>
                <w:sz w:val="24"/>
                <w:szCs w:val="24"/>
              </w:rPr>
              <w:t>33</w:t>
            </w:r>
          </w:p>
        </w:tc>
      </w:tr>
      <w:tr w14:paraId="0E4C1FF5">
        <w:tblPrEx>
          <w:tblCellMar>
            <w:top w:w="0" w:type="dxa"/>
            <w:left w:w="108" w:type="dxa"/>
            <w:bottom w:w="0" w:type="dxa"/>
            <w:right w:w="108" w:type="dxa"/>
          </w:tblCellMar>
        </w:tblPrEx>
        <w:trPr>
          <w:trHeight w:val="611"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53AE5173">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3、单价在20万元以上的设备</w:t>
            </w:r>
          </w:p>
        </w:tc>
        <w:tc>
          <w:tcPr>
            <w:tcW w:w="1591" w:type="dxa"/>
            <w:tcBorders>
              <w:top w:val="nil"/>
              <w:left w:val="nil"/>
              <w:bottom w:val="single" w:color="auto" w:sz="4" w:space="0"/>
              <w:right w:val="single" w:color="auto" w:sz="4" w:space="0"/>
            </w:tcBorders>
            <w:shd w:val="clear" w:color="auto" w:fill="auto"/>
            <w:vAlign w:val="center"/>
          </w:tcPr>
          <w:p w14:paraId="15EDF3AC">
            <w:pPr>
              <w:widowControl/>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tcBorders>
              <w:top w:val="nil"/>
              <w:left w:val="nil"/>
              <w:bottom w:val="single" w:color="auto" w:sz="4" w:space="0"/>
              <w:right w:val="single" w:color="auto" w:sz="4" w:space="0"/>
            </w:tcBorders>
            <w:shd w:val="clear" w:color="auto" w:fill="auto"/>
            <w:vAlign w:val="center"/>
          </w:tcPr>
          <w:p w14:paraId="79D15D2E">
            <w:pPr>
              <w:widowControl/>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14:paraId="04FE68FB">
        <w:tblPrEx>
          <w:tblCellMar>
            <w:top w:w="0" w:type="dxa"/>
            <w:left w:w="108" w:type="dxa"/>
            <w:bottom w:w="0" w:type="dxa"/>
            <w:right w:w="108" w:type="dxa"/>
          </w:tblCellMar>
        </w:tblPrEx>
        <w:trPr>
          <w:trHeight w:val="432" w:hRule="atLeast"/>
        </w:trPr>
        <w:tc>
          <w:tcPr>
            <w:tcW w:w="3811" w:type="dxa"/>
            <w:tcBorders>
              <w:top w:val="single" w:color="auto" w:sz="4" w:space="0"/>
              <w:left w:val="single" w:color="auto" w:sz="4" w:space="0"/>
              <w:bottom w:val="single" w:color="auto" w:sz="4" w:space="0"/>
              <w:right w:val="single" w:color="auto" w:sz="4" w:space="0"/>
            </w:tcBorders>
            <w:shd w:val="clear" w:color="auto" w:fill="auto"/>
            <w:vAlign w:val="center"/>
          </w:tcPr>
          <w:p w14:paraId="3292A495">
            <w:pPr>
              <w:jc w:val="left"/>
              <w:rPr>
                <w:rFonts w:ascii="宋体" w:hAnsi="宋体" w:cs="宋体"/>
                <w:color w:val="000000"/>
                <w:kern w:val="0"/>
                <w:sz w:val="24"/>
                <w:szCs w:val="24"/>
              </w:rPr>
            </w:pPr>
            <w:r>
              <w:rPr>
                <w:rFonts w:hint="eastAsia" w:ascii="宋体" w:hAnsi="宋体" w:cs="宋体"/>
                <w:color w:val="000000"/>
                <w:kern w:val="0"/>
                <w:sz w:val="24"/>
                <w:szCs w:val="24"/>
              </w:rPr>
              <w:t xml:space="preserve">  4、其他固定资产</w:t>
            </w:r>
          </w:p>
        </w:tc>
        <w:tc>
          <w:tcPr>
            <w:tcW w:w="1591" w:type="dxa"/>
            <w:tcBorders>
              <w:top w:val="single" w:color="auto" w:sz="4" w:space="0"/>
              <w:left w:val="nil"/>
              <w:bottom w:val="single" w:color="auto" w:sz="4" w:space="0"/>
              <w:right w:val="single" w:color="auto" w:sz="4" w:space="0"/>
            </w:tcBorders>
            <w:shd w:val="clear" w:color="auto" w:fill="auto"/>
            <w:vAlign w:val="center"/>
          </w:tcPr>
          <w:p w14:paraId="2CBA0F22">
            <w:pPr>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tcBorders>
              <w:top w:val="single" w:color="auto" w:sz="4" w:space="0"/>
              <w:left w:val="nil"/>
              <w:bottom w:val="single" w:color="auto" w:sz="4" w:space="0"/>
              <w:right w:val="single" w:color="auto" w:sz="4" w:space="0"/>
            </w:tcBorders>
            <w:shd w:val="clear" w:color="auto" w:fill="auto"/>
            <w:vAlign w:val="center"/>
          </w:tcPr>
          <w:p w14:paraId="07AA9F6D">
            <w:pPr>
              <w:jc w:val="center"/>
              <w:rPr>
                <w:rFonts w:ascii="宋体" w:hAnsi="宋体" w:cs="宋体"/>
                <w:color w:val="000000"/>
                <w:kern w:val="0"/>
                <w:sz w:val="24"/>
                <w:szCs w:val="24"/>
              </w:rPr>
            </w:pPr>
            <w:r>
              <w:rPr>
                <w:rFonts w:hint="eastAsia" w:ascii="宋体" w:hAnsi="宋体" w:cs="宋体"/>
                <w:color w:val="000000"/>
                <w:kern w:val="0"/>
                <w:sz w:val="24"/>
                <w:szCs w:val="24"/>
              </w:rPr>
              <w:t>29.247</w:t>
            </w:r>
          </w:p>
        </w:tc>
      </w:tr>
    </w:tbl>
    <w:p w14:paraId="4A355485">
      <w:pPr>
        <w:spacing w:line="520" w:lineRule="exact"/>
        <w:ind w:firstLine="640" w:firstLineChars="200"/>
        <w:jc w:val="center"/>
        <w:rPr>
          <w:rFonts w:ascii="黑体" w:hAnsi="黑体" w:eastAsia="黑体"/>
          <w:sz w:val="32"/>
          <w:szCs w:val="32"/>
        </w:rPr>
      </w:pPr>
    </w:p>
    <w:p w14:paraId="560D0D1D">
      <w:pPr>
        <w:spacing w:line="500" w:lineRule="exact"/>
        <w:ind w:firstLine="627" w:firstLineChars="196"/>
        <w:jc w:val="center"/>
        <w:outlineLvl w:val="0"/>
        <w:rPr>
          <w:rFonts w:ascii="黑体" w:hAnsi="黑体" w:eastAsia="黑体"/>
          <w:sz w:val="32"/>
          <w:szCs w:val="32"/>
        </w:rPr>
      </w:pPr>
      <w:r>
        <w:rPr>
          <w:rFonts w:hint="eastAsia" w:ascii="黑体" w:hAnsi="黑体" w:eastAsia="黑体"/>
          <w:sz w:val="32"/>
          <w:szCs w:val="32"/>
        </w:rPr>
        <w:t>第八部分：名词解释</w:t>
      </w:r>
    </w:p>
    <w:p w14:paraId="6A60A031">
      <w:pPr>
        <w:spacing w:line="600" w:lineRule="exact"/>
        <w:ind w:firstLine="627" w:firstLineChars="196"/>
        <w:jc w:val="center"/>
        <w:outlineLvl w:val="0"/>
        <w:rPr>
          <w:rFonts w:ascii="黑体" w:hAnsi="黑体" w:eastAsia="黑体"/>
          <w:sz w:val="32"/>
          <w:szCs w:val="32"/>
        </w:rPr>
      </w:pPr>
    </w:p>
    <w:p w14:paraId="0000435A">
      <w:pPr>
        <w:spacing w:line="600" w:lineRule="exact"/>
        <w:ind w:firstLine="643" w:firstLineChars="200"/>
        <w:rPr>
          <w:rFonts w:ascii="仿宋" w:hAnsi="仿宋" w:eastAsia="仿宋"/>
          <w:sz w:val="32"/>
          <w:szCs w:val="32"/>
        </w:rPr>
      </w:pPr>
      <w:r>
        <w:rPr>
          <w:rFonts w:hint="eastAsia" w:ascii="仿宋" w:hAnsi="仿宋" w:eastAsia="仿宋"/>
          <w:b/>
          <w:sz w:val="32"/>
          <w:szCs w:val="32"/>
        </w:rPr>
        <w:t>1、财政拨款收入：</w:t>
      </w:r>
      <w:r>
        <w:rPr>
          <w:rFonts w:hint="eastAsia" w:ascii="仿宋" w:hAnsi="仿宋" w:eastAsia="仿宋"/>
          <w:sz w:val="32"/>
          <w:szCs w:val="32"/>
        </w:rPr>
        <w:t>指县级财政当年拨付的资金。</w:t>
      </w:r>
    </w:p>
    <w:p w14:paraId="3F00D8EC">
      <w:pPr>
        <w:spacing w:line="600" w:lineRule="exact"/>
        <w:ind w:firstLine="643" w:firstLineChars="200"/>
        <w:rPr>
          <w:rFonts w:ascii="仿宋" w:hAnsi="仿宋" w:eastAsia="仿宋"/>
          <w:sz w:val="32"/>
          <w:szCs w:val="32"/>
        </w:rPr>
      </w:pPr>
      <w:r>
        <w:rPr>
          <w:rFonts w:hint="eastAsia" w:ascii="仿宋" w:hAnsi="仿宋" w:eastAsia="仿宋"/>
          <w:b/>
          <w:sz w:val="32"/>
          <w:szCs w:val="32"/>
        </w:rPr>
        <w:t>2、其他收入：</w:t>
      </w:r>
      <w:r>
        <w:rPr>
          <w:rFonts w:hint="eastAsia" w:ascii="仿宋" w:hAnsi="仿宋" w:eastAsia="仿宋"/>
          <w:sz w:val="32"/>
          <w:szCs w:val="32"/>
        </w:rPr>
        <w:t>指除上述“财政拨款收入”、“事业收入”等以外的收入。</w:t>
      </w:r>
    </w:p>
    <w:p w14:paraId="1F1F57C5">
      <w:pPr>
        <w:spacing w:line="600" w:lineRule="exact"/>
        <w:ind w:firstLine="643" w:firstLineChars="200"/>
        <w:rPr>
          <w:rFonts w:ascii="仿宋" w:hAnsi="仿宋" w:eastAsia="仿宋"/>
          <w:sz w:val="32"/>
          <w:szCs w:val="32"/>
        </w:rPr>
      </w:pPr>
      <w:r>
        <w:rPr>
          <w:rFonts w:hint="eastAsia" w:ascii="仿宋" w:hAnsi="仿宋" w:eastAsia="仿宋"/>
          <w:b/>
          <w:sz w:val="32"/>
          <w:szCs w:val="32"/>
        </w:rPr>
        <w:t>3、基本支出：</w:t>
      </w:r>
      <w:r>
        <w:rPr>
          <w:rFonts w:hint="eastAsia" w:ascii="仿宋" w:hAnsi="仿宋" w:eastAsia="仿宋"/>
          <w:sz w:val="32"/>
          <w:szCs w:val="32"/>
        </w:rPr>
        <w:t>指为保障机构正常运转、完成日常工作任务而发生的人员支出和公用支出。</w:t>
      </w:r>
    </w:p>
    <w:p w14:paraId="51D068FE">
      <w:pPr>
        <w:spacing w:line="600" w:lineRule="exact"/>
        <w:ind w:firstLine="643" w:firstLineChars="200"/>
        <w:rPr>
          <w:rFonts w:ascii="仿宋" w:hAnsi="仿宋" w:eastAsia="仿宋"/>
          <w:sz w:val="32"/>
          <w:szCs w:val="32"/>
        </w:rPr>
      </w:pPr>
      <w:r>
        <w:rPr>
          <w:rFonts w:hint="eastAsia" w:ascii="仿宋" w:hAnsi="仿宋" w:eastAsia="仿宋"/>
          <w:b/>
          <w:sz w:val="32"/>
          <w:szCs w:val="32"/>
        </w:rPr>
        <w:t>4、项目支出：</w:t>
      </w:r>
      <w:r>
        <w:rPr>
          <w:rFonts w:hint="eastAsia" w:ascii="仿宋" w:hAnsi="仿宋" w:eastAsia="仿宋"/>
          <w:sz w:val="32"/>
          <w:szCs w:val="32"/>
        </w:rPr>
        <w:t>指在基本支出之外为完成特定行政任务和事业发展目标所发生的支出。</w:t>
      </w:r>
    </w:p>
    <w:p w14:paraId="26A23675">
      <w:pPr>
        <w:spacing w:line="600" w:lineRule="exact"/>
        <w:ind w:firstLine="643" w:firstLineChars="200"/>
        <w:rPr>
          <w:rFonts w:ascii="仿宋" w:hAnsi="仿宋" w:eastAsia="仿宋"/>
          <w:sz w:val="32"/>
          <w:szCs w:val="32"/>
        </w:rPr>
      </w:pPr>
      <w:r>
        <w:rPr>
          <w:rFonts w:hint="eastAsia" w:ascii="仿宋" w:hAnsi="仿宋" w:eastAsia="仿宋"/>
          <w:b/>
          <w:sz w:val="32"/>
          <w:szCs w:val="32"/>
        </w:rPr>
        <w:t>5、“三公”经费：</w:t>
      </w:r>
      <w:r>
        <w:rPr>
          <w:rFonts w:hint="eastAsia" w:ascii="仿宋" w:hAnsi="仿宋" w:eastAsia="仿宋"/>
          <w:sz w:val="32"/>
          <w:szCs w:val="32"/>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D02B97A">
      <w:pPr>
        <w:spacing w:line="600" w:lineRule="exact"/>
        <w:ind w:firstLine="643" w:firstLineChars="200"/>
        <w:rPr>
          <w:rFonts w:ascii="仿宋" w:hAnsi="仿宋" w:eastAsia="仿宋"/>
          <w:sz w:val="32"/>
          <w:szCs w:val="32"/>
        </w:rPr>
      </w:pPr>
      <w:r>
        <w:rPr>
          <w:rFonts w:hint="eastAsia" w:ascii="仿宋" w:hAnsi="仿宋" w:eastAsia="仿宋"/>
          <w:b/>
          <w:sz w:val="32"/>
          <w:szCs w:val="32"/>
        </w:rPr>
        <w:t>6、机关运行费：</w:t>
      </w:r>
      <w:r>
        <w:rPr>
          <w:rFonts w:hint="eastAsia" w:ascii="仿宋" w:hAnsi="仿宋" w:eastAsia="仿宋"/>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6F2487F">
      <w:pPr>
        <w:spacing w:line="600" w:lineRule="exact"/>
        <w:ind w:firstLine="643" w:firstLineChars="200"/>
        <w:rPr>
          <w:rFonts w:ascii="仿宋" w:hAnsi="仿宋" w:eastAsia="仿宋"/>
          <w:sz w:val="32"/>
          <w:szCs w:val="32"/>
        </w:rPr>
      </w:pPr>
      <w:r>
        <w:rPr>
          <w:rFonts w:hint="eastAsia" w:ascii="仿宋" w:hAnsi="仿宋" w:eastAsia="仿宋"/>
          <w:b/>
          <w:sz w:val="32"/>
          <w:szCs w:val="32"/>
        </w:rPr>
        <w:t>7、公务费：</w:t>
      </w:r>
      <w:r>
        <w:rPr>
          <w:rFonts w:hint="eastAsia" w:ascii="仿宋" w:hAnsi="仿宋" w:eastAsia="仿宋"/>
          <w:sz w:val="32"/>
          <w:szCs w:val="32"/>
        </w:rPr>
        <w:t>包括办公费、水电费、邮电费、取暖费、交通费、一般会议费和物业管理费之和。</w:t>
      </w:r>
    </w:p>
    <w:p w14:paraId="796CE342">
      <w:pPr>
        <w:spacing w:line="500" w:lineRule="exact"/>
        <w:ind w:firstLine="627" w:firstLineChars="196"/>
        <w:jc w:val="center"/>
        <w:outlineLvl w:val="0"/>
        <w:rPr>
          <w:rFonts w:ascii="黑体" w:hAnsi="黑体" w:eastAsia="黑体"/>
          <w:sz w:val="32"/>
          <w:szCs w:val="32"/>
        </w:rPr>
      </w:pPr>
      <w:r>
        <w:rPr>
          <w:rFonts w:hint="eastAsia" w:ascii="仿宋" w:hAnsi="仿宋" w:eastAsia="仿宋"/>
          <w:sz w:val="32"/>
          <w:szCs w:val="32"/>
        </w:rPr>
        <w:t xml:space="preserve">                         </w:t>
      </w:r>
    </w:p>
    <w:p w14:paraId="208DBB9F">
      <w:pPr>
        <w:spacing w:line="500" w:lineRule="exact"/>
        <w:ind w:firstLine="627" w:firstLineChars="196"/>
        <w:jc w:val="center"/>
        <w:outlineLvl w:val="0"/>
        <w:rPr>
          <w:rFonts w:ascii="黑体" w:hAnsi="黑体" w:eastAsia="黑体"/>
          <w:sz w:val="32"/>
          <w:szCs w:val="32"/>
        </w:rPr>
      </w:pPr>
      <w:r>
        <w:rPr>
          <w:rFonts w:hint="eastAsia" w:ascii="黑体" w:hAnsi="黑体" w:eastAsia="黑体"/>
          <w:sz w:val="32"/>
          <w:szCs w:val="32"/>
        </w:rPr>
        <w:t>第九部分：其他需说明的事项</w:t>
      </w:r>
    </w:p>
    <w:p w14:paraId="2CD19785">
      <w:pPr>
        <w:spacing w:line="500" w:lineRule="exact"/>
        <w:ind w:firstLine="1264" w:firstLineChars="395"/>
        <w:jc w:val="left"/>
        <w:outlineLvl w:val="0"/>
        <w:rPr>
          <w:rFonts w:ascii="仿宋" w:hAnsi="仿宋" w:eastAsia="仿宋"/>
          <w:sz w:val="32"/>
          <w:szCs w:val="32"/>
        </w:rPr>
      </w:pPr>
    </w:p>
    <w:p w14:paraId="1023781C">
      <w:pPr>
        <w:spacing w:line="500" w:lineRule="exact"/>
        <w:ind w:firstLine="1264" w:firstLineChars="395"/>
        <w:jc w:val="left"/>
        <w:outlineLvl w:val="0"/>
        <w:rPr>
          <w:rFonts w:ascii="黑体" w:hAnsi="黑体" w:eastAsia="黑体"/>
          <w:sz w:val="32"/>
          <w:szCs w:val="32"/>
        </w:rPr>
      </w:pPr>
      <w:r>
        <w:rPr>
          <w:rFonts w:hint="eastAsia" w:ascii="仿宋" w:hAnsi="仿宋" w:eastAsia="仿宋"/>
          <w:sz w:val="32"/>
          <w:szCs w:val="32"/>
        </w:rPr>
        <w:t>无其他需说明的事项。</w:t>
      </w:r>
    </w:p>
    <w:p w14:paraId="06844DAE">
      <w:pPr>
        <w:spacing w:line="520" w:lineRule="exact"/>
        <w:ind w:firstLine="640" w:firstLineChars="200"/>
        <w:jc w:val="center"/>
        <w:rPr>
          <w:rFonts w:ascii="黑体" w:hAnsi="黑体" w:eastAsia="黑体"/>
          <w:sz w:val="32"/>
          <w:szCs w:val="32"/>
        </w:rPr>
      </w:pPr>
    </w:p>
    <w:sectPr>
      <w:pgSz w:w="11907" w:h="16839"/>
      <w:pgMar w:top="1531" w:right="1134" w:bottom="1474" w:left="1134"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decorative"/>
    <w:pitch w:val="default"/>
    <w:sig w:usb0="E1002EFF" w:usb1="C000605B" w:usb2="00000029" w:usb3="00000000" w:csb0="200101FF" w:csb1="20280000"/>
  </w:font>
  <w:font w:name="微软雅黑">
    <w:panose1 w:val="020B0503020204020204"/>
    <w:charset w:val="86"/>
    <w:family w:val="decorative"/>
    <w:pitch w:val="default"/>
    <w:sig w:usb0="80000287" w:usb1="2ACF3C50" w:usb2="00000016" w:usb3="00000000" w:csb0="0004001F" w:csb1="00000000"/>
  </w:font>
  <w:font w:name="仿宋">
    <w:panose1 w:val="02010609060101010101"/>
    <w:charset w:val="86"/>
    <w:family w:val="swiss"/>
    <w:pitch w:val="default"/>
    <w:sig w:usb0="800002BF" w:usb1="38CF7CFA" w:usb2="00000016" w:usb3="00000000" w:csb0="00040001" w:csb1="00000000"/>
  </w:font>
  <w:font w:name="仿宋_GB2312">
    <w:altName w:val="仿宋"/>
    <w:panose1 w:val="00000000000000000000"/>
    <w:charset w:val="86"/>
    <w:family w:val="swiss"/>
    <w:pitch w:val="default"/>
    <w:sig w:usb0="00000000" w:usb1="00000000" w:usb2="00000010" w:usb3="00000000" w:csb0="00040000" w:csb1="00000000"/>
  </w:font>
  <w:font w:name="方正楷体_GBK">
    <w:altName w:val="宋体"/>
    <w:panose1 w:val="00000000000000000000"/>
    <w:charset w:val="86"/>
    <w:family w:val="modern"/>
    <w:pitch w:val="default"/>
    <w:sig w:usb0="00000000" w:usb1="00000000" w:usb2="00000000" w:usb3="00000000" w:csb0="00000000" w:csb1="00000000"/>
  </w:font>
  <w:font w:name="方正小标宋_GBK">
    <w:altName w:val="宋体"/>
    <w:panose1 w:val="00000000000000000000"/>
    <w:charset w:val="86"/>
    <w:family w:val="modern"/>
    <w:pitch w:val="default"/>
    <w:sig w:usb0="00000000" w:usb1="00000000" w:usb2="00000000" w:usb3="00000000" w:csb0="00000000" w:csb1="00000000"/>
  </w:font>
  <w:font w:name="方正书宋_GBK">
    <w:altName w:val="宋体"/>
    <w:panose1 w:val="00000000000000000000"/>
    <w:charset w:val="86"/>
    <w:family w:val="moder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92A6B"/>
    <w:rsid w:val="00091E94"/>
    <w:rsid w:val="0009459A"/>
    <w:rsid w:val="001065C8"/>
    <w:rsid w:val="001222AE"/>
    <w:rsid w:val="0012705B"/>
    <w:rsid w:val="00154A6D"/>
    <w:rsid w:val="001C2B66"/>
    <w:rsid w:val="001C683E"/>
    <w:rsid w:val="001D57B5"/>
    <w:rsid w:val="0026551B"/>
    <w:rsid w:val="002669B3"/>
    <w:rsid w:val="00271724"/>
    <w:rsid w:val="00277567"/>
    <w:rsid w:val="00291E2F"/>
    <w:rsid w:val="002B1401"/>
    <w:rsid w:val="002D45BA"/>
    <w:rsid w:val="002D6A90"/>
    <w:rsid w:val="00327E93"/>
    <w:rsid w:val="00337583"/>
    <w:rsid w:val="00366C7A"/>
    <w:rsid w:val="003C11EB"/>
    <w:rsid w:val="004038F9"/>
    <w:rsid w:val="0041363D"/>
    <w:rsid w:val="004168EC"/>
    <w:rsid w:val="00451DBD"/>
    <w:rsid w:val="004C0E92"/>
    <w:rsid w:val="00515209"/>
    <w:rsid w:val="00555E21"/>
    <w:rsid w:val="005745FC"/>
    <w:rsid w:val="00596F21"/>
    <w:rsid w:val="005B2241"/>
    <w:rsid w:val="005B3C38"/>
    <w:rsid w:val="006513F9"/>
    <w:rsid w:val="00653AF4"/>
    <w:rsid w:val="006550B4"/>
    <w:rsid w:val="0067786A"/>
    <w:rsid w:val="00687E25"/>
    <w:rsid w:val="006A1C1D"/>
    <w:rsid w:val="006A77E3"/>
    <w:rsid w:val="00714E7A"/>
    <w:rsid w:val="00730D45"/>
    <w:rsid w:val="00741F3B"/>
    <w:rsid w:val="007441A7"/>
    <w:rsid w:val="00744F31"/>
    <w:rsid w:val="00763C72"/>
    <w:rsid w:val="00792A6B"/>
    <w:rsid w:val="007C4B2D"/>
    <w:rsid w:val="00815BDD"/>
    <w:rsid w:val="00880D45"/>
    <w:rsid w:val="008A2A35"/>
    <w:rsid w:val="008D192A"/>
    <w:rsid w:val="008E3172"/>
    <w:rsid w:val="008F2273"/>
    <w:rsid w:val="0095496D"/>
    <w:rsid w:val="009850E9"/>
    <w:rsid w:val="009B3615"/>
    <w:rsid w:val="00A170C0"/>
    <w:rsid w:val="00A366D5"/>
    <w:rsid w:val="00A5055C"/>
    <w:rsid w:val="00A6573C"/>
    <w:rsid w:val="00A901AC"/>
    <w:rsid w:val="00A97CED"/>
    <w:rsid w:val="00AB582C"/>
    <w:rsid w:val="00AC5F84"/>
    <w:rsid w:val="00AE2BA9"/>
    <w:rsid w:val="00B35A41"/>
    <w:rsid w:val="00BC73E5"/>
    <w:rsid w:val="00C26EB9"/>
    <w:rsid w:val="00D05B83"/>
    <w:rsid w:val="00EC19AF"/>
    <w:rsid w:val="00EF7FFC"/>
    <w:rsid w:val="14E12BAB"/>
    <w:rsid w:val="1BAA60DB"/>
    <w:rsid w:val="3D307B42"/>
    <w:rsid w:val="3D723E75"/>
    <w:rsid w:val="3EA1342F"/>
    <w:rsid w:val="4C051E41"/>
    <w:rsid w:val="6A8A74C8"/>
    <w:rsid w:val="76C33C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7">
    <w:name w:val="列出段落1"/>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character" w:customStyle="1" w:styleId="8">
    <w:name w:val="页眉 Char"/>
    <w:basedOn w:val="5"/>
    <w:link w:val="3"/>
    <w:semiHidden/>
    <w:qFormat/>
    <w:uiPriority w:val="99"/>
    <w:rPr>
      <w:rFonts w:ascii="Calibri" w:hAnsi="Calibri" w:eastAsia="宋体" w:cs="Times New Roman"/>
      <w:sz w:val="18"/>
      <w:szCs w:val="18"/>
    </w:rPr>
  </w:style>
  <w:style w:type="character" w:customStyle="1" w:styleId="9">
    <w:name w:val="页脚 Char"/>
    <w:basedOn w:val="5"/>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27CCFA5-1ECF-42C0-8436-27DAEA8DC480}">
  <ds:schemaRefs/>
</ds:datastoreItem>
</file>

<file path=docProps/app.xml><?xml version="1.0" encoding="utf-8"?>
<Properties xmlns="http://schemas.openxmlformats.org/officeDocument/2006/extended-properties" xmlns:vt="http://schemas.openxmlformats.org/officeDocument/2006/docPropsVTypes">
  <Template>Normal</Template>
  <Pages>11</Pages>
  <Words>4791</Words>
  <Characters>5116</Characters>
  <Lines>40</Lines>
  <Paragraphs>11</Paragraphs>
  <TotalTime>3</TotalTime>
  <ScaleCrop>false</ScaleCrop>
  <LinksUpToDate>false</LinksUpToDate>
  <CharactersWithSpaces>5244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2019-02-19T11:35:00Z</dcterms:created>
  <dc:creator>Administrator</dc:creator>
  <cp:lastModifiedBy>樊海平</cp:lastModifiedBy>
  <dcterms:modified xsi:type="dcterms:W3CDTF">2025-04-27T09:33:26Z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eyJoZGlkIjoiZWE0ZjVhODAzMzE2Mzk0ZjhhODcyYTMxNmZkNWI0MjMiLCJ1c2VySWQiOiIzODIyNzkyMTkifQ==</vt:lpwstr>
  </property>
  <property fmtid="{D5CDD505-2E9C-101B-9397-08002B2CF9AE}" pid="4" name="ICV">
    <vt:lpwstr>7C16C4562D1C418A82A110C036D929A7_12</vt:lpwstr>
  </property>
</Properties>
</file>